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Australian Opposition Unveils Plan for Nuclear Power Plants Amid Energy Policy Split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Australian Opposition Announces Plan for Nuclear Power Plants Before Elections</w:t>
      </w:r>
      <w:r/>
    </w:p>
    <w:p>
      <w:r/>
      <w:r>
        <w:t>On Wednesday, Australia's opposition Liberal Party, led by Peter Dutton, unveiled a plan to build the nation’s first nuclear power plants beginning as early as 2035. The announcement reflects a major policy split between the Liberal Party and the current centre-left Labor government on decarbonising Australia's economy.</w:t>
      </w:r>
      <w:r/>
    </w:p>
    <w:p>
      <w:r/>
      <w:r>
        <w:t>The Liberal Party's policy aims to counter what it sees as ineffective renewable energy strategies by the government, which include solar, wind turbines, and green hydrogen. Dutton stated that a key focus of the upcoming elections, due within a year, will be the country's energy future, including nuclear power.</w:t>
      </w:r>
      <w:r/>
    </w:p>
    <w:p>
      <w:r/>
      <w:r>
        <w:t>Seven government-owned nuclear reactors are proposed to be established at sites of aging coal-fired plants across five states, with the first two reactors planned from 2035 to 2037. Detailed cost estimates are yet to be disclosed.</w:t>
      </w:r>
      <w:r/>
    </w:p>
    <w:p>
      <w:r/>
      <w:r>
        <w:t>Climate Change and Energy Minister Chris Bowen criticized the plan, calling it a ploy influenced by coal and gas industry lobbies and questioned the absence of detailed costs and energy output in the proposal.</w:t>
      </w:r>
      <w:r/>
    </w:p>
    <w:p>
      <w:r/>
      <w:r>
        <w:t>The current Labor government, led by Prime Minister Anthony Albanese, took office in 2022 with a commitment to reduce greenhouse gas emissions 43% below 2005 levels by 2030. By contrast, the previous Liberal-led government had aimed for a 26-28% reduction. Both parties, however, are committed to achieving net-zero emissions by 2050.</w:t>
      </w:r>
      <w:r/>
    </w:p>
    <w:p>
      <w:r/>
      <w:r>
        <w:t>Australia has long relied on coal and gas for its energy but has faced ongoing debates about the best path to reducing emissions, including a short-lived carbon tax implemented in 2012 and repealed in 2014. The country’s only existing nuclear reactor, used for medical isotope production, has been operational since 1958.</w:t>
      </w:r>
      <w:r/>
    </w:p>
    <w:p>
      <w:r/>
      <w:r>
        <w:t>The Liberal Party is leveraging the AUKUS partnership, established in 2019 with the United States and the United Kingdom, which involves nuclear submarine technology, as a stepping stone for its nuclear energy ambitions.</w:t>
      </w:r>
      <w:r/>
    </w:p>
    <w:p>
      <w:r/>
      <w:r>
        <w:t>This landmark announcement introduces a significant divergence in energy policy just ahead of critical elections, possibly shaping the country's environmental and economic future.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