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Proposal for Eco-Friendly Homes in Clifton Lane, West Bromwich, Nearing Approval Despite Parking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proposal to construct 14 eco-friendly homes on a long-vacant site in Clifton Lane, Stone Cross, West Bromwich, is progressing towards approval. The site, previously occupied by Sandwell Council offices but demolished in the early 2010s, is set to be developed by Alpha and Bowerbird Homes. The new homes will consist of seven two-bedroom and seven three-bedroom units.</w:t>
      </w:r>
      <w:r/>
    </w:p>
    <w:p>
      <w:r/>
      <w:r>
        <w:t>Despite concerns over inadequate parking, the council’s planners have recommended approval, citing the development as unique and much-needed. Initial plans were revised after the council’s highways department objected to the lack of parking spaces. The updated application still does not meet the required parking standards, relying on existing street spaces, which remains a point of contention.</w:t>
      </w:r>
      <w:r/>
    </w:p>
    <w:p>
      <w:r/>
      <w:r>
        <w:t xml:space="preserve">A final decision will be made by Sandwell Council’s planning committee on June 26. The new homes are designed to meet 'passivhaus' principles, featuring energy-efficient technologies such as extra insulation, air-tight materials, and solar panels. Most construction will occur off-site, with the homes delivered and installed on the site. </w:t>
      </w:r>
      <w:r/>
    </w:p>
    <w:p>
      <w:r/>
      <w:r>
        <w:t>The Clifton Lane property has a history of various developments, including council offices built in the late 1980s and other approved housing plans in 2019, although little progress has been made since initial road construction in 2022.</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