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UK Prepares for Summery Weather as Spain Faces Heatwave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UK Prepares for Summery Weather as Spain Faces Heatwave</w:t>
      </w:r>
      <w:r/>
    </w:p>
    <w:p>
      <w:r/>
      <w:r>
        <w:t>Bristol and other areas in the UK are forecast to experience a rise in temperatures, with a spell of warm weather expected in the coming days. According to the Met Office, temperatures could reach up to 25°C next week, providing a much-needed shift from the dreary start of June.</w:t>
      </w:r>
      <w:r/>
    </w:p>
    <w:p>
      <w:r/>
      <w:r>
        <w:t>On June 19, temperatures in Bristol are expected to be around 22°C, with sunshine anticipated throughout the week. By Friday, temperatures might reach 23°C in the city but drop to about 15°C due to anticipated heavy rainfall late in the evening. The weekend is set to bring more sunshine and higher temperatures, signalling a more settled weather pattern next week.</w:t>
      </w:r>
      <w:r/>
    </w:p>
    <w:p>
      <w:r/>
      <w:r>
        <w:t>Meanwhile, Spain is bracing for its first heatwave of the season, potentially pushing temperatures up to 40°C by June 22. The heatwave, driven by an anticyclonic pattern, is expected to affect regions like Aragon, Catalonia, and particularly Andalucia, which might see temperatures reaching 42-43°C. This extreme heat is anticipated to persist until the end of June, marking a long and intense summer for the region.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