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Wimbledon Faces Pressure to Drop Barclays as Sponsor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Wimbledon Faces Pressure to Drop Barclays as Sponsor</w:t>
      </w:r>
      <w:r/>
    </w:p>
    <w:p>
      <w:r/>
      <w:r>
        <w:t>Wimbledon is under increasing pressure to terminate its sponsorship agreement with Barclays due to the bank's involvement in financing fossil fuel projects. Several campaign groups have critiqued the All England Lawn Tennis Club (AELTC) for its partnership with Barclays, especially as the Championships are set to run from July 1 to 14, 2024.</w:t>
      </w:r>
      <w:r/>
    </w:p>
    <w:p>
      <w:r/>
      <w:r>
        <w:t>This scrutiny comes shortly after Barclays suspended its sponsorship of Live Nation festivals, following a number of musical acts withdrawing from events in a pro-Palestine campaign linked to the bank’s alleged associations with defense companies involved in the Gaza conflict.</w:t>
      </w:r>
      <w:r/>
    </w:p>
    <w:p>
      <w:r/>
      <w:r>
        <w:t>Environmental and social advocacy groups argue that Barclays, alongside another Wimbledon sponsor, Jaguar Land Rover, funds climate-polluting activities and promotes heavily polluting vehicles. Notable public figures, including actress Emma Thompson, have also called on Wimbledon to reconsider its sponsorship ties.</w:t>
      </w:r>
      <w:r/>
    </w:p>
    <w:p>
      <w:r/>
      <w:r>
        <w:t>In a related precedent, Tennis Australia ended its partnership with the oil and gas company Santos after facing similar grassroots pressure in 2022. Campaigners like Andrew Simms from Badvertising Campaign and Areeba Hamid from Greenpeace have expressed concerns that such sponsorships undermine efforts to combat climate change and pose risks to athletes and local communities.</w:t>
      </w:r>
      <w:r/>
    </w:p>
    <w:p>
      <w:r/>
      <w:r>
        <w:t xml:space="preserve">The AELTC has labeled Barclays an "important partner" and highlighted its efforts to address environmental issues, including using renewable energy and promoting sustainability practices during the Championships. Barclays, for its part, states it is working towards transitioning the energy sector and has significant targets for sustainable finance. </w:t>
      </w:r>
      <w:r/>
    </w:p>
    <w:p>
      <w:r/>
      <w:r>
        <w:t>This debate underscores the ongoing examination of sponsor choices within the sports industry, especially concerning environmental and social responsibility.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