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Tension Escalates Over Australian Nuclear Energy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Australia’s Political Clash Over Nuclear Energy Proposal</w:t>
      </w:r>
      <w:r/>
    </w:p>
    <w:p>
      <w:r/>
      <w:r>
        <w:t>In under 24 hours, social media became a battleground over Peter Dutton's nuclear energy policy, with both federal and state Labor leaders, as well as the union movement, launching criticisms. Their posts featured exaggerated images and references to pop culture to undermine the proposal. Victorian Premier Jacinta Allan, along with other Labor members, created memes invoking The Simpsons and three-eyed fish purportedly to highlight the dangers of nuclear power.</w:t>
      </w:r>
      <w:r/>
    </w:p>
    <w:p>
      <w:r/>
      <w:r>
        <w:t>Prime Minister Anthony Albanese criticized Dutton's proposal, labeling it a "fantasy" that would disrupt investments in renewable energy. He argued that this plan lacked detailed costings, clear timelines, and specific types of reactors, which raised questions about its feasibility and economic impact.</w:t>
      </w:r>
      <w:r/>
    </w:p>
    <w:p>
      <w:r/>
      <w:r>
        <w:t>The Coalition's proposal includes using coal-fired power sites for new nuclear plants, but several site owners have shown resistance. Furthermore, most target sites are located in states with legislative bans on nuclear power. In response, Albanese stressed that nuclear energy would be more expensive compared to renewables and could also create energy insecurity.</w:t>
      </w:r>
      <w:r/>
    </w:p>
    <w:p>
      <w:r/>
      <w:r>
        <w:t>Despite these criticisms, Dutton defended the proposal, emphasizing its long-term benefits and a gradual rollout strategy to generate public understanding and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