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SCG Leads the Way in Sustainable Innovations in Thailand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SCG Pioneers Sustainable Innovations in Thailand</w:t>
      </w:r>
      <w:r/>
    </w:p>
    <w:p>
      <w:r/>
      <w:r>
        <w:t xml:space="preserve">BANGKOK, THAILAND - On June 20, 2024, SCG, a leading conglomerate in ASEAN, announced its strategic initiatives to combat severe environmental issues through innovative low-carbon solutions. </w:t>
      </w:r>
      <w:r/>
    </w:p>
    <w:p>
      <w:r/>
      <w:r>
        <w:t>SCG Chemicals (SCGC), under their "SCGC GREEN POLYMER™" initiative, aims to address Thailand's annual 2 million tons of plastic waste. The initiative focuses on four aspects: Reduce, Recyclable, Recycle, and Renewable. The goal is to produce 1 million tons of green polymer by 2030.</w:t>
      </w:r>
      <w:r/>
    </w:p>
    <w:p>
      <w:r/>
      <w:r>
        <w:t>SCG Cleanergy has introduced the "Smart Grid" system to manage electricity usage for high consumption facilities in Thailand. The system, coupled with a Power &amp; Carbon Trading Platform, has proven to reduce energy costs by 6% and CO2 emissions by 4,000 tons annually. SCG is also working with Rondo Energy to deploy "Heat Battery" technology in the region.</w:t>
      </w:r>
      <w:r/>
    </w:p>
    <w:p>
      <w:r/>
      <w:r>
        <w:t>In cement production, SCG has launched "Low Carbon Cement," reducing CO2 emissions by 15-20%, with plans for further reductions with future iterations. The company is also promoting the "CPAC Low Carbon Concrete."</w:t>
      </w:r>
      <w:r/>
    </w:p>
    <w:p>
      <w:r/>
      <w:r>
        <w:t>These efforts are part of SCG's commitment to sustainable development and align with the United Nations' Sustainable Development Goals.</w:t>
      </w:r>
      <w:r/>
    </w:p>
    <w:p>
      <w:r/>
      <w:r>
        <w:t>Simultaneously, Drax and Stockholm Exergi, in collaboration with DNV, have developed a validated methodology for Bioenergy with Carbon Capture and Storage (BECCS). This framework ensures high-integrity carbon dioxide removals, supporting the voluntary carbon market and meeting ISO14064:2 standards. The methodology fosters the deployment of BECCS technology, crucial for achieving global net-zero targets.</w:t>
      </w:r>
      <w:r/>
    </w:p>
    <w:p>
      <w:r/>
      <w:r>
        <w:rPr>
          <w:b/>
        </w:rPr>
        <w:t>Contact Information:</w:t>
      </w:r>
      <w:r>
        <w:t>- Drax Media: [email protected] - DNV Media: [email protected] - Stockholm Exergi Media: [email protected]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