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Stanford University Makes Leap in Green Energy with Liquid Battery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Stanford University has announced a significant advance in green energy storage systems with the development of a liquid battery technology. The innovation involves Liquid Organic Hydrogen Carriers (LOHCs), which store and release hydrogen in a liquid form, thereby addressing typical storage and transportation challenges associated with hydrogen gas. This research, led by Professor Robert Waymouth, converts electrical energy into isopropanol, a high-density liquid hydrogen carrier, enhancing energy storage efficiency.</w:t>
      </w:r>
      <w:r/>
    </w:p>
    <w:p>
      <w:r/>
      <w:r>
        <w:t>The breakthrough employs a catalytic system using iridium and cobaltocene to convert acetone into isopropanol without producing hydrogen gas, simplifying storage and transportation. This development could be integral to green energy facilities, enabling steady electricity supplies even when renewable sources like solar or wind are insufficient.</w:t>
      </w:r>
      <w:r/>
    </w:p>
    <w:p>
      <w:r/>
      <w:r>
        <w:t>Additionally, SCG, a prominent ASEAN conglomerate, has launched several eco-friendly initiatives to combat environmental issues. Their innovations include SCGC GREEN POLYMER™ for reducing plastic waste, SCG Cleanergy’s “Smart Grid” system for cost-effective energy management, and "Low Carbon Cement," which reduces CO2 emissions in construction.</w:t>
      </w:r>
      <w:r/>
    </w:p>
    <w:p>
      <w:r/>
      <w:r>
        <w:t>This comprehensive approach by both Stanford University and SCG underscores ongoing efforts to foster sustainable and efficient green technologies, marking significant strides towards a greener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