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Communications Secures $250 Million Sustainability Loan and NatWest Plans Acquisition of Sainsbury's Banking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Communications secured a $250 million sustainability loan from DBS Bank, ANZ, and Export Development Canada (EDC) on Thursday. This five-year sustainability-linked loan connects the loan’s interest rate margin to Tata Communications’ progress in reducing carbon emissions. This initiative aims to support the company’s long-term goal of achieving Net Zero emissions across its global operations by 2035. This type of transaction is a first in India. Rajat Verma from DBS Bank India and Stella Saris Chow from ANZ highlighted the potential for similar sustainability-focused financing for other corporations. Tata Communications CFO Kabir Ahmed Shakir emphasized the company’s commitment to sustainability.</w:t>
      </w:r>
      <w:r/>
    </w:p>
    <w:p>
      <w:r/>
      <w:r>
        <w:t>In another development, NatWest plans to acquire the primary banking operations of Sainsbury's, marking Sainsbury’s exit from the financial sector to refocus on its food business. The deal includes Sainsbury’s Bank’s credit cards, loans, and savings accounts, but excludes the Sainsbury’s Bank brand, cash machines, insurance, and travel money services. No immediate changes will affect customers, and Sainsbury’s is committed to redeploying employees at risk of job loss, with discussions about employment opportunities at NatWest ongoing. The acquisition encompasses approximately one million customer accounts and is expected to be completed by the end of March next year. This strategic move follows a similar exit by Tesco from the banking sector earlier in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