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Adeno-Associated Virus Gene Therapy Market Set to Hit $75.1 Billion by 2034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Adeno-associated Virus Gene Therapy Market Projected to Reach $75.1 Billion by 2034</w:t>
      </w:r>
      <w:r/>
    </w:p>
    <w:p>
      <w:r/>
      <w:r>
        <w:rPr>
          <w:b/>
        </w:rPr>
        <w:t>Dublin, June 21, 2024</w:t>
      </w:r>
      <w:r>
        <w:t xml:space="preserve"> – The adeno-associated virus (AAV) gene therapy market is expected to grow significantly from a value of $1.9 billion in 2023 to $75.1 billion by 2034, achieving a compound annual growth rate (CAGR) of 50.46%. This growth is driven by the increasing ability of AAV gene therapy to treat various disorders, including inherited diseases, cancers, and viral infections.</w:t>
      </w:r>
      <w:r/>
    </w:p>
    <w:p>
      <w:r/>
      <w:r>
        <w:t>Key features of AAV, such as low immunogenicity, broad target range, and ease of production, contribute to its growing popularity. AAV's non-pathogenic nature, low integration into host chromosomes, and long-term transgene expression are also beneficial for clinical applications.</w:t>
      </w:r>
      <w:r/>
    </w:p>
    <w:p>
      <w:r/>
      <w:r>
        <w:t>Significant investments by key players in research and development for high-yield producer cell lines aim to enhance viral vector production quality and flexibility at lower costs. Personalized treatments tailored to specific genetic mutations are also boosting the market. Advancements in biotechnology and genetics, like optimized transgene cassettes and capsid engineering, further drive market growth.</w:t>
      </w:r>
      <w:r/>
    </w:p>
    <w:p>
      <w:r/>
      <w:r>
        <w:t>The report provides a detailed analysis covering the United States, EU5 (Germany, Spain, Italy, France, and the United Kingdom), and Japan. It includes data on treatment practices, in-market and pipeline drugs, and market performance across these regions. The United States holds the largest patient pool for AAV gene therapy and is the largest market for these treatments.</w:t>
      </w:r>
      <w:r/>
    </w:p>
    <w:p>
      <w:r/>
      <w:r>
        <w:rPr>
          <w:b/>
        </w:rPr>
        <w:t>Key Insights:</w:t>
      </w:r>
      <w:r/>
      <w:r/>
    </w:p>
    <w:p>
      <w:pPr>
        <w:pStyle w:val="ListBullet"/>
        <w:spacing w:line="240" w:lineRule="auto"/>
        <w:ind w:left="720"/>
      </w:pPr>
      <w:r/>
      <w:r>
        <w:rPr>
          <w:b/>
        </w:rPr>
        <w:t>Base Year:</w:t>
      </w:r>
      <w:r>
        <w:t xml:space="preserve"> 2023</w:t>
      </w:r>
      <w:r/>
    </w:p>
    <w:p>
      <w:pPr>
        <w:pStyle w:val="ListBullet"/>
        <w:spacing w:line="240" w:lineRule="auto"/>
        <w:ind w:left="720"/>
      </w:pPr>
      <w:r/>
      <w:r>
        <w:rPr>
          <w:b/>
        </w:rPr>
        <w:t>Historical Period:</w:t>
      </w:r>
      <w:r>
        <w:t xml:space="preserve"> 2018-2023</w:t>
      </w:r>
      <w:r/>
    </w:p>
    <w:p>
      <w:pPr>
        <w:pStyle w:val="ListBullet"/>
        <w:spacing w:line="240" w:lineRule="auto"/>
        <w:ind w:left="720"/>
      </w:pPr>
      <w:r/>
      <w:r>
        <w:rPr>
          <w:b/>
        </w:rPr>
        <w:t>Market Forecast:</w:t>
      </w:r>
      <w:r>
        <w:t xml:space="preserve"> 2024-2034</w:t>
      </w:r>
      <w:r/>
    </w:p>
    <w:p>
      <w:pPr>
        <w:pStyle w:val="ListBullet"/>
        <w:spacing w:line="240" w:lineRule="auto"/>
        <w:ind w:left="720"/>
      </w:pPr>
      <w:r/>
      <w:r>
        <w:rPr>
          <w:b/>
        </w:rPr>
        <w:t>Countries Covered:</w:t>
      </w:r>
      <w:r>
        <w:t xml:space="preserve"> United States, Germany, France, United Kingdom, Italy, Spain, Japan</w:t>
      </w:r>
      <w:r/>
    </w:p>
    <w:p>
      <w:pPr>
        <w:pStyle w:val="ListBullet"/>
        <w:spacing w:line="240" w:lineRule="auto"/>
        <w:ind w:left="720"/>
      </w:pPr>
      <w:r/>
      <w:r>
        <w:rPr>
          <w:b/>
        </w:rPr>
        <w:t>Estimated Market Value (2023):</w:t>
      </w:r>
      <w:r>
        <w:t xml:space="preserve"> $1.9 Billion</w:t>
      </w:r>
      <w:r/>
    </w:p>
    <w:p>
      <w:pPr>
        <w:pStyle w:val="ListBullet"/>
        <w:spacing w:line="240" w:lineRule="auto"/>
        <w:ind w:left="720"/>
      </w:pPr>
      <w:r/>
      <w:r>
        <w:rPr>
          <w:b/>
        </w:rPr>
        <w:t>Forecasted Market Value (2034):</w:t>
      </w:r>
      <w:r>
        <w:t xml:space="preserve"> $75.1 Billion</w:t>
      </w:r>
      <w:r/>
    </w:p>
    <w:p>
      <w:pPr>
        <w:pStyle w:val="ListBullet"/>
        <w:spacing w:line="240" w:lineRule="auto"/>
        <w:ind w:left="720"/>
      </w:pPr>
      <w:r/>
      <w:r>
        <w:rPr>
          <w:b/>
        </w:rPr>
        <w:t>Compound Annual Growth Rate:</w:t>
      </w:r>
      <w:r>
        <w:t xml:space="preserve"> 39.7%</w:t>
      </w:r>
      <w:r/>
      <w:r/>
    </w:p>
    <w:p>
      <w:r/>
      <w:r>
        <w:rPr>
          <w:b/>
        </w:rPr>
        <w:t>Report Attributes:</w:t>
      </w:r>
      <w:r/>
      <w:r/>
    </w:p>
    <w:p>
      <w:pPr>
        <w:pStyle w:val="ListBullet"/>
        <w:spacing w:line="240" w:lineRule="auto"/>
        <w:ind w:left="720"/>
      </w:pPr>
      <w:r/>
      <w:r>
        <w:t>Analysis of current and future epidemiology scenarios</w:t>
      </w:r>
      <w:r/>
    </w:p>
    <w:p>
      <w:pPr>
        <w:pStyle w:val="ListBullet"/>
        <w:spacing w:line="240" w:lineRule="auto"/>
        <w:ind w:left="720"/>
      </w:pPr>
      <w:r/>
      <w:r>
        <w:t>Sales of various drugs and competitive landscape</w:t>
      </w:r>
      <w:r/>
    </w:p>
    <w:p>
      <w:pPr>
        <w:pStyle w:val="ListBullet"/>
        <w:spacing w:line="240" w:lineRule="auto"/>
        <w:ind w:left="720"/>
      </w:pPr>
      <w:r/>
      <w:r>
        <w:t>Performance of in-market and late-stage pipeline drugs</w:t>
      </w:r>
      <w:r/>
      <w:r/>
    </w:p>
    <w:p>
      <w:r/>
      <w:r>
        <w:t>This comprehensive report is essential for stakeholders planning to enter or invest in the adeno-associated virus gene therapy market.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