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BluSky Carbon Inc. Goes Public on Canadian Securities Exchange with Innovative Carbon Removal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BluSky Carbon Inc., a novel carbon removal technology company, went public on June 20, 2023, and began trading on the Canadian Securities Exchange under the ticker symbol BSKY. The company raised $5.75 million through the issuance of 11.5 million units at $0.50 per unit, each comprising one common share and one-half of a share purchase warrant.</w:t>
      </w:r>
      <w:r/>
    </w:p>
    <w:p>
      <w:r/>
      <w:r>
        <w:t>BluSky Carbon focuses on carbon removal through innovative approaches, including biomass pyrolysis, carbon mineralization, and direct air capture (DAC). The company integrates these technologies into a single system for optimized efficiency. The Vulcan system converts organic waste into biochar and syngas, while the Medusa system mineralizes CO2 emissions, and the Kronos system captures CO2 directly from the air.</w:t>
      </w:r>
      <w:r/>
    </w:p>
    <w:p>
      <w:r/>
      <w:r>
        <w:t>Founded in 2021, BluSky activated its Vulcan II system in January with the capacity to remove 800 tonnes of CO2 annually. The company plans to deploy its Vulcan Heavy unit in the U.S., which will remove 20,000 tonnes of CO2 per year. BluSky has secured projects in Minneapolis and North Texas and signed its first carbon offset agreement with SQUAKE.earth GmbH. The company's long-term goal is to deploy multiple carbon removal facilities globally.</w:t>
      </w:r>
      <w:r/>
    </w:p>
    <w:p>
      <w:r/>
      <w:r>
        <w:t>In a similar development, Capture6 announced a collaboration with Veolia Water Technologies &amp; Solutions on June 17, 2024, to deploy CO2 removal facilities with integrated water management systems. Capture6 uses wastewater brine to produce valuable by-products and freshwater while capturing CO2, leveraging Veolia's expertise in advanced water treatment.</w:t>
      </w:r>
      <w:r/>
    </w:p>
    <w:p>
      <w:r/>
      <w:r>
        <w:t>Capture6 aims to develop projects in California, Western Australia, New Zealand, and South Korea. This collaboration offers a scalable solution for carbon removal while addressing water scarcity issues.</w:t>
      </w:r>
      <w:r/>
    </w:p>
    <w:p>
      <w:r/>
      <w:r>
        <w:t>These initiatives reflect significant advancements in carbon removal technologies, aiming to tackle climate change and water management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