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Hawaii Governor Settles Climate Change Lawsuit with Youth Plaintiffs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Hawaii Settles Climate Change Lawsuit Filed by Youth Plaintiffs</w:t>
      </w:r>
      <w:r/>
    </w:p>
    <w:p>
      <w:r/>
      <w:r>
        <w:t xml:space="preserve">In a notable legal outcome, Hawaii's governor and attorneys announced a settlement with young plaintiffs who accused the state of violating its constitution. The lawsuit, Navahine v. Hawaii Department of Transportation, contended that Hawaii's transportation system harmed the climate and violated children's right to a clean and healthy environment. </w:t>
      </w:r>
      <w:r/>
    </w:p>
    <w:p>
      <w:r/>
      <w:r>
        <w:t>The agreement acknowledges children's constitutional rights to a life-sustaining climate and commits the state to achieving net-negative emissions by 2045. Governor Josh Green, alongside public interest law firms Our Children's Trust and Earthjustice, marked the settlement as a unique resolution addressing climate change through constitutional principles.</w:t>
      </w:r>
      <w:r/>
    </w:p>
    <w:p>
      <w:r/>
      <w:r>
        <w:t>The plaintiffs, aged 9 to 18 when the case was filed in June 2022, argued that the Department of Transportation's focus on highway construction over other transport methods exacerbated climate issues. A 14-year-old Native Hawaiian plaintiff highlighted how climate-induced droughts and heavy rains jeopardized her family's ten-generation taro farming practice and threatened their lands with rising sea levels.</w:t>
      </w:r>
      <w:r/>
    </w:p>
    <w:p>
      <w:r/>
      <w:r>
        <w:t>This case bears similarity to a recent Montana Supreme Court decision that mandated consideration of greenhouse gas emissions in fossil fuel permits. Both cases were initiated by youth plaintiffs.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