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Mixed reactions to Labour's policy announcements spark debate among UK stakeholders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Labour's recent policy announcements on climate change, housing, Gaza, and social care have drawn mixed reactions from various stakeholders and advocacy groups across the UK.</w:t>
      </w:r>
      <w:r/>
    </w:p>
    <w:p>
      <w:r/>
      <w:r>
        <w:t>Bethan Williams, a climate activist from Cardiff, criticizes Labour's current climate policies, labeling them as vague and insubstantial compared to the comprehensive Green New Deal proposed in 2019 under Jeremy Corbyn. The recent reduction of Labour's green investment pledge by half to £14bn and the ambiguous nature of the "GB Energy" plan leave her skeptical about Labour's commitment to achieving clean energy by 2030.</w:t>
      </w:r>
      <w:r/>
    </w:p>
    <w:p>
      <w:r/>
      <w:r>
        <w:t>In contrast, Niall Hignett, a law student from Durham, regards Labour as the only party serious about addressing the UK's housing crisis. Highlighting Andy Burnham's success in Manchester and Labour's target to build 1.5 million homes, Hignett finds Labour's stance on housing more convincing compared to other parties.</w:t>
      </w:r>
      <w:r/>
    </w:p>
    <w:p>
      <w:r/>
      <w:r>
        <w:t>However, Hassan Ali criticizes Keir Starmer's approach to Gaza, arguing that his weak stance will cost Labour votes among the Muslim community and broader constituencies. Ali, a student from East London, feels disillusioned by Starmer's failure to firmly address the humanitarian issues in Gaza.</w:t>
      </w:r>
      <w:r/>
    </w:p>
    <w:p>
      <w:r/>
      <w:r>
        <w:t>Paris Haigh, a student and member of Green New Deal Rising in Scotland, condemns the SNP for abandoning its 2030 climate targets and failing to deliver on promises related to oil and gas. Haigh reflects a growing frustration among young voters who feel betrayed by the SNP's unfulfilled commitments.</w:t>
      </w:r>
      <w:r/>
    </w:p>
    <w:p>
      <w:r/>
      <w:r>
        <w:t>Tiger-Lily Snowdon, a student from rural Devon, underscores the ongoing social care crisis, pointing out the inadequate support for unpaid carers like her family members. She criticizes the limited attention major parties have given to the issue, despite its significant impact on the NHS and the well-being of millions of carers nationwide.</w:t>
      </w:r>
      <w:r/>
    </w:p>
    <w:p>
      <w:r/>
      <w:r>
        <w:t>Lastly, Daniel Cadel calls for urgent electoral reform, arguing that the first past the post system has perpetuated a two-party state, leading to unaccountable and ineffective governance. Cadel advocates for a switch to proportional representation to foster genuine accountability and better reflect voters' choices.</w:t>
      </w:r>
      <w:r/>
    </w:p>
    <w:p>
      <w:r/>
      <w:r>
        <w:t>These perspectives reflect the diverse concerns and hopes of different demographics, highlighting key areas of debate as the UK heads into the next general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