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Partnership for Sustainable Canola Production and Microsoft's Carbon Credit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Cargill and Arnott’s Group Partner for Sustainable Canola Production in Australia</w:t>
      </w:r>
      <w:r/>
    </w:p>
    <w:p>
      <w:r/>
      <w:r>
        <w:t>The Arnott’s Group has joined Cargill’s SustainConnect program as a founding partner to promote sustainable canola oil production in Australia. This initiative provides Australian canola farmers with necessary tools, resources, and market access, aiding their transition to sustainable agriculture. It also introduces new revenue streams for farmers to meet the increased demand from both domestic and international markets.</w:t>
      </w:r>
      <w:r/>
    </w:p>
    <w:p>
      <w:r/>
      <w:r>
        <w:t>Regrow, a carbon measurement company, collaborates with Cargill to measure, report, and verify carbon outcomes using in-field data, remote sensing, and crop and soil health modelling. This ensures transparency and accurate measurement for both growers and customers.</w:t>
      </w:r>
      <w:r/>
    </w:p>
    <w:p>
      <w:r/>
      <w:r>
        <w:t>The SustainConnect program is available to canola farmers in New South Wales, Queensland, South Australia, and Victoria, with plans to expand to Western Australia.</w:t>
      </w:r>
      <w:r/>
    </w:p>
    <w:p>
      <w:r/>
      <w:r>
        <w:t>Farmers in the program can adopt practices such as nutrient management, reduced or no-tillage methods, and crop residue retention, enhancing soil health and contributing to decarbonizing the agriculture supply chain.</w:t>
      </w:r>
      <w:r/>
    </w:p>
    <w:p>
      <w:pPr>
        <w:pBdr>
          <w:bottom w:val="single" w:sz="6" w:space="1" w:color="auto"/>
        </w:pBdr>
      </w:pPr>
      <w:r/>
    </w:p>
    <w:p>
      <w:r/>
      <w:r>
        <w:rPr>
          <w:b/>
        </w:rPr>
        <w:t>Microsoft's Largest Carbon Credit Deal</w:t>
      </w:r>
      <w:r/>
    </w:p>
    <w:p>
      <w:r/>
      <w:r>
        <w:t>Microsoft has entered into a 19-year agreement for 8 million carbon credits with Brazilian investment bank BTG Pactual’s forestry arm, Timberland Investment Group (TIG). This deal, part of Microsoft's extensive carbon market activities, aims to restore around 135,000 hectares of natural forests. Microsoft has also purchased 40,000 soil carbon credits from Indigo Ag in the U.S.</w:t>
      </w:r>
      <w:r/>
    </w:p>
    <w:p>
      <w:r/>
      <w:r>
        <w:t>The values of these deals are undisclosed but are likely lower than the Australian Carbon Credit Unit price, which recently opened at $34.25. Microsoft's involvement in carbon credits is part of its goal to become carbon negative by 2030, with a focus on biodiversity and avoiding monocultures in reforestation efforts.</w:t>
      </w:r>
      <w:r/>
    </w:p>
    <w:p>
      <w:r/>
      <w:r>
        <w:t>Microsoft continues to invest in soil carbon, including collaborations with U.S. and Australian agricultural companies, to promote regenerative agriculture and improve soil carbon storage.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