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Supreme Court Requires Full Environmental Assessment for Fossil Fuel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Supreme Court Ruling on Fossil Fuel Projects</w:t>
      </w:r>
      <w:r/>
    </w:p>
    <w:p>
      <w:r/>
      <w:r>
        <w:rPr>
          <w:b/>
        </w:rPr>
        <w:t>June 20, 2024</w:t>
      </w:r>
      <w:r>
        <w:t>—The U.K. Supreme Court ruled that local councils and planning groups must consider the full environmental impact of new fossil fuel projects, extending this to include indirect emissions produced by suppliers or consumers. This landmark 3-2 decision stipulates that when councils evaluate projects, they must account for greenhouse gas emissions throughout the entire value chain, not just within their operations.</w:t>
      </w:r>
      <w:r/>
    </w:p>
    <w:p>
      <w:r/>
      <w:r>
        <w:t>The case was presented by an environmental campaigner against Surrey County Council over a proposal for new oil wells at the Horse Hill site. The court found it "inevitable" that the extracted oil would be burned, necessitating a comprehensive environmental assessment.</w:t>
      </w:r>
      <w:r/>
    </w:p>
    <w:p>
      <w:r/>
      <w:r>
        <w:t>This ruling is expected to impact major projects, including the development of the Rosebank oil field in the North Sea. It may also influence global standards, with experts suggesting it adds weight to calls for thorough emissions disclosure in countries like the United States.</w:t>
      </w:r>
      <w:r/>
    </w:p>
    <w:p>
      <w:r/>
      <w:r>
        <w:t>As climate disasters intensify globally, this decision represents a significant procedural shift in addressing climate change through legal and regulatory frameworks.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