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Heightened Scrutiny over Blue Hydrogen, CCS, and LNG Impact on Carbon Budget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Rising Scrutiny on Blue Hydrogen, CCS, and LNG in the UK’s Low Carbon Efforts</w:t>
      </w:r>
      <w:r/>
    </w:p>
    <w:p>
      <w:r/>
      <w:r>
        <w:t xml:space="preserve">The UK government's policies supporting blue hydrogen and carbon capture and storage (CCS) projects are under intensified scrutiny due to concerns about the underestimation of upstream emissions from liquefied natural gas (LNG). According to a report by Carbon Tracker, emissions from these projects could consume 22% to 63% of the UK's Sixth Carbon Budget. </w:t>
      </w:r>
      <w:r/>
    </w:p>
    <w:p>
      <w:r/>
      <w:r>
        <w:rPr>
          <w:b/>
        </w:rPr>
        <w:t>Key Findings:</w:t>
      </w:r>
      <w:r/>
    </w:p>
    <w:p>
      <w:r/>
      <w:r>
        <w:t xml:space="preserve">1. </w:t>
      </w:r>
      <w:r>
        <w:rPr>
          <w:b/>
        </w:rPr>
        <w:t>Carbon Intensity Underestimated</w:t>
      </w:r>
      <w:r>
        <w:t>: The "Kind of Blue" report reveals that the carbon intensity of blue hydrogen and gas power with CCS is higher due to upstream emissions from natural gas extraction, processing, and transport. This is particularly concerning for the UK, which increasingly relies on imported LNG from the US.</w:t>
      </w:r>
      <w:r/>
    </w:p>
    <w:p>
      <w:r/>
      <w:r>
        <w:t xml:space="preserve">2. </w:t>
      </w:r>
      <w:r>
        <w:rPr>
          <w:b/>
        </w:rPr>
        <w:t>Higher Emissions</w:t>
      </w:r>
      <w:r>
        <w:t>: Studies suggest the carbon intensity of US LNG could be 80% to 150% higher than UK’s North Sea Transition Authority estimates.</w:t>
      </w:r>
      <w:r/>
    </w:p>
    <w:p>
      <w:r/>
      <w:r>
        <w:t xml:space="preserve">3. </w:t>
      </w:r>
      <w:r>
        <w:rPr>
          <w:b/>
        </w:rPr>
        <w:t>Policy Gaps</w:t>
      </w:r>
      <w:r>
        <w:t>: Major UK political parties lack specific policies to adequately address CCS use and upstream emissions. This regulatory gap could lead to a tripling of the carbon intensity of blue hydrogen, making it significantly exceed UK and EU low-carbon fuel standards.</w:t>
      </w:r>
      <w:r/>
    </w:p>
    <w:p>
      <w:r/>
      <w:r>
        <w:t xml:space="preserve">4. </w:t>
      </w:r>
      <w:r>
        <w:rPr>
          <w:b/>
        </w:rPr>
        <w:t>Legal Actions</w:t>
      </w:r>
      <w:r>
        <w:t>: Dr. Andrew Boswell is taking the UK Government to the High Court over the assessment of upstream emissions in approving Gas-CCS Projects in Teesside. The UK Supreme Court mandates considering emissions from burning fossil fuels when approving new drilling sites.</w:t>
      </w:r>
      <w:r/>
    </w:p>
    <w:p>
      <w:r/>
      <w:r>
        <w:t xml:space="preserve">5. </w:t>
      </w:r>
      <w:r>
        <w:rPr>
          <w:b/>
        </w:rPr>
        <w:t>Future Demand</w:t>
      </w:r>
      <w:r>
        <w:t>: The UK’s Net Zero strategy proposals could double gas demand by 2035, driven by blue hydrogen and gas-CCS projects. This implies increased reliance on LNG, further straining the carbon budget.</w:t>
      </w:r>
      <w:r/>
    </w:p>
    <w:p>
      <w:r/>
      <w:r>
        <w:rPr>
          <w:b/>
        </w:rPr>
        <w:t>WoodMac Horizons Report on E-Fuels:</w:t>
      </w:r>
      <w:r>
        <w:t>Wood Mackenzie’s latest Horizons report indicates that the widespread development of synthetic fuels is still a decade away. E-fuels, produced by combining green hydrogen with captured carbon or nitrogen, could decarbonize transportation sectors. However, challenges include high production costs and the integration of green hydrogen and CO2 capture technologies.</w:t>
      </w:r>
      <w:r/>
    </w:p>
    <w:p>
      <w:r/>
      <w:r>
        <w:rPr>
          <w:b/>
        </w:rPr>
        <w:t>British Property Federation (BPF) Carbon Manifesto:</w:t>
      </w:r>
      <w:r>
        <w:t>The BPF’s new Carbon Manifesto calls for a comprehensive net zero carbon roadmap for the real estate sector. Key recommendations include: - Appointing a dedicated Minister for net zero buildings. - Mandating Whole Life Carbon assessments. - Implementing a "Green Super Deduction" to drive investment. - Enhancing energy data sharing between landlords and tenants to improve building efficiency.</w:t>
      </w:r>
      <w:r/>
    </w:p>
    <w:p>
      <w:r/>
      <w:r>
        <w:t>The manifesto highlights the need to retrofit approximately 175,000 commercial buildings annually by 2030 to meet new energy standards, noting that buildings account for 25% of the UK’s carbon emissions.</w:t>
      </w:r>
      <w:r/>
    </w:p>
    <w:p>
      <w:r/>
      <w:r>
        <w:t>These reports stress the urgency for policy updates and technological advancements to meet the UK’s climate targets effectively.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