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Environmental Concerns Take Center Stage in Somerset Ahead of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Key Environmental Issues Highlight Somerset's Future Amid Upcoming Election</w:t>
      </w:r>
      <w:r/>
    </w:p>
    <w:p>
      <w:r/>
      <w:r>
        <w:t>As the UK heads towards the next general election, environmental concerns have surged in importance among voters. Recent polling indicates that over half of the electorate regards climate and nature issues on par with other national challenges.</w:t>
      </w:r>
      <w:r/>
    </w:p>
    <w:p>
      <w:r/>
      <w:r>
        <w:t>In Somerset, the local ecosystem faces significant threats from climate change, land management practices, pollution, and development. The Somerset State of Nature Report 2023, released by the Somerset Wildlife Trust last December, highlights alarming trends. Notably, fritillary butterflies have seen a 60% decline from 1990 to 2021, with butterfly distribution reduced by 874km² over the past three decades. Additionally, the number of ‘Good’ quality rivers in Somerset has decreased from 38 in 2009 to 21 in 2019. Furthermore, only 36% of the county's 128 Sites of Special Scientific Importance (SSSI) are deemed favourable.</w:t>
      </w:r>
      <w:r/>
    </w:p>
    <w:p>
      <w:r/>
      <w:r>
        <w:t>The Somerset Wildlife Trust views the upcoming election as crucial for combating nature's decline and addressing climate change. The UK has established 2030 targets to halt nature's decline and protect 30% of its land and sea, which depend heavily on the actions of the forthcoming government. The next five years are also pivotal in the UK's plan to achieve net zero carbon emissions by 2050.</w:t>
      </w:r>
      <w:r/>
    </w:p>
    <w:p>
      <w:r/>
      <w:r>
        <w:t>Georgia Dent, Chief Executive of Somerset Wildlife Trust, emphasized the urgency of the current political moment: “This general election needs to be a turning point for nature.” Dent noted that protecting and restoring nature is essential for maintaining a healthy society, food production, and economy.</w:t>
      </w:r>
      <w:r/>
    </w:p>
    <w:p>
      <w:r/>
      <w:r>
        <w:t>The Wildlife Trusts have provided summaries of each political party's environmental promises on the Somerset Wildlife Trust's website to aid voters in making informed decisions.</w:t>
      </w:r>
      <w:r/>
    </w:p>
    <w:p>
      <w:r/>
      <w:r>
        <w:t>The backdrop of these local concerns comes amid broader global challenges, as highlighted by public commentary on Australia’s climate policies. Peter Dutton, the Opposition leader, recently announced the Coalition's exit from Australia’s 2030 emissions targets, sparking discourse on the government's role in climate action.</w:t>
      </w:r>
      <w:r/>
    </w:p>
    <w:p>
      <w:r/>
      <w:r>
        <w:t>The upcoming election is seen by environmental groups as a pivotal moment for addressing these pressing issues, urging voters to consider policies that safeguard and restore the natural environment.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