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Carbon Border Adjustment Mechanism's Implications for the Middle East and Global Carbon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EU Carbon Pricing Mechanism and its Middle Eastern Implications</w:t>
      </w:r>
      <w:r/>
    </w:p>
    <w:p>
      <w:r/>
      <w:r>
        <w:t>The European Union (EU) introduced the Carbon Border Adjustment Mechanism (CBAM) on October 1, 2023, aimed at protecting European companies from unfair competition with imports from countries without carbon pricing. Experts believe this initiative will elevate the Middle East's role as a key energy trade partner, particularly in the production of green and blue hydrogen.</w:t>
      </w:r>
      <w:r/>
    </w:p>
    <w:p>
      <w:r/>
      <w:r>
        <w:t>From January 2026, importers in the EU will need to purchase certificates covering the embodied emissions in imported goods. The price of these certificates will align with the EU Emissions Trading System (ETS) allowances. The regulation focuses on carbon-intensive goods such as cement, iron, steel, aluminum, fertilizers, electricity, and hydrogen products. By 2034, consultancy Engie Impact predicts a 10% cost increase for these commodities.</w:t>
      </w:r>
      <w:r/>
    </w:p>
    <w:p>
      <w:r/>
      <w:r>
        <w:t>Middle Eastern economies may respond to CBAM by developing their own carbon pricing systems, capturing and reinvesting carbon revenues domestically. Evangelos Beis from Blue Marble Disruptive Technology suggests that Middle Eastern corporations supporting carbon offsetting will benefit significantly from these developments. The region's major oil companies, Saudi Aramco and ADNOC, are already investing in carbon capture and hydrogen supply chains to meet the rising demand for low-carbon energy in Europe.</w:t>
      </w:r>
      <w:r/>
    </w:p>
    <w:p>
      <w:r/>
      <w:r>
        <w:t>The EU’s green hydrogen import target is 10 million tonnes by 2030, with potential key suppliers including Australia, Chile, Morocco, Oman, Saudi Arabia, and the UAE.</w:t>
      </w:r>
      <w:r/>
    </w:p>
    <w:p>
      <w:r/>
      <w:r>
        <w:t>Meanwhile, Ethiopia is advancing its carbon trading framework with newly enacted regulations encouraging private and community-led forest development projects. Prime Minister Abiy Ahmed announced an increase in Ethiopia’s forest coverage to 23.6%, up from 17.2% in 2019. Ethiopia's carbon sales projects, like the Humbo Assisted Natural Regeneration Project, aim to reduce greenhouse gas emissions by leveraging voluntary carbon markets.</w:t>
      </w:r>
      <w:r/>
    </w:p>
    <w:p>
      <w:r/>
      <w:r>
        <w:t>Belize also pursued innovative carbon solutions to tackle its debt crisis, exemplified by the Belize Blue Bonds initiative. This program, launched on November 4, 2021, aims to relieve 12% of national debt while protecting 30% of the country's oceans. Similar initiatives in the Caribbean, such as Barbados's debt-for-nature swaps, highlight a growing trend towards integrating economic relief with environmental conservation.</w:t>
      </w:r>
      <w:r/>
    </w:p>
    <w:p>
      <w:r/>
      <w:r>
        <w:t>Both Ethiopia’s forest initiatives and Belize’s blue bonds model illustrate the potential of carbon markets to drive sustainable development and attract investment, aligning with global efforts to combat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