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Tourist Destinations Barcelona and Capri Announce Tourism Bans for Critical Local Reasons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popular European tourist destinations have announced tourism bans due to different pressing issues. In Barcelona, the city government plans to revoke licenses for 10,101 short-term rental apartments by November 2028. Mayor Jaume Collboni identified housing shortages as the primary reason, aiming to return these units to local residents. The city, which hosted 16 million tourists in 2016, faces an ongoing housing crisis exacerbated by a high volume of tourist rentals. Spain's Socialist Housing Minister Isabel Rodriguez supports the initiative.</w:t>
      </w:r>
      <w:r/>
    </w:p>
    <w:p>
      <w:r/>
      <w:r>
        <w:t>Meanwhile, Capri, an Italian island, has imposed a tourist ban due to a severe water crisis. Mayor Paolo Falco declared an emergency, citing depleted local reservoirs after the mainland water supply was cut off. Essential services are at risk as the island's water scarcity reaches a critical point. The mayor immediately halted tourist ticket sales and activated emergency measures to address the situation.</w:t>
      </w:r>
      <w:r/>
    </w:p>
    <w:p>
      <w:r/>
      <w:r>
        <w:t>Both cities are responding to urgent local concerns, reflecting broader trends in managing tourism's impact on resident life quality and essential services.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