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Germany's Minister for Economic Affairs Holds Climate Change Dialogue in China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Robert Habeck, Germany's Minister for Economic Affairs and Vice Chancellor, is currently on a five-day visit to China and South Korea. On June 22, 2024, he participated in the first high-level dialogue under the China-Germany cooperation mechanism on climate change and green transition, held in Beijing.</w:t>
      </w:r>
      <w:r/>
    </w:p>
    <w:p>
      <w:r/>
      <w:r>
        <w:t>During the dialogue, significant agreements were reached. Germany and China will initiate provincial-level cooperation on green transition and form a working group focused on industrial carbon reduction. Projects aimed at increasing energy efficiency in critical sectors will also be launched.</w:t>
      </w:r>
      <w:r/>
    </w:p>
    <w:p>
      <w:r/>
      <w:r>
        <w:t>China has shown its readiness to enhance cooperation with Germany in areas such as energy efficiency, the circular economy, industrial carbon reduction, and energy transition. Likewise, Germany expressed interest in further collaboration on renewable energy, smart grid development, and the production of zero-carbon and low-carbon products.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