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Newcastle United Demands £20M for Ashworth; Transfer Rumours Abound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Newcastle United and Dan Ashworth: Ongoing Dispute with Manchester United</w:t>
      </w:r>
      <w:r/>
    </w:p>
    <w:p>
      <w:r/>
      <w:r>
        <w:t>Newcastle United has informed Manchester United that they will have to wait 18 months to utilize sporting director Dan Ashworth. Ashworth resigned from his position in February, and Newcastle is holding out for a compensation package of up to £20 million to release him from his contract. Sir Jim Ratcliffe of Manchester United has publicly expressed frustration over the situation, but Newcastle remains resolute, having recently declined a £3 million offer from Manchester United.</w:t>
      </w:r>
      <w:r/>
    </w:p>
    <w:p>
      <w:r/>
      <w:r>
        <w:t>Meanwhile, Newcastle is focused on its transfer business, including potential changes involving players like Matt Targett and Miguel Almirón. Targett, plagued by injuries, may be offloaded, especially with Newcastle closing in on a £28 million deal for Lewis Hall. Forward Miguel Almirón, currently with Paraguay for the Copa America, may also be sold to balance the books.</w:t>
      </w:r>
      <w:r/>
    </w:p>
    <w:p>
      <w:pPr>
        <w:pStyle w:val="Heading3"/>
      </w:pPr>
      <w:r>
        <w:t>Local RSPCA Branch Faces Increased Demand in Pet Foodbank Services</w:t>
      </w:r>
      <w:r/>
    </w:p>
    <w:p>
      <w:r/>
      <w:r>
        <w:t xml:space="preserve">The RSPCA Sunderland, Hartlepool, and South Tyneside branch, based in Chester-le-Street, has experienced a 300% increase in demand for its pet foodbank over the past year. The charity aims to support struggling pet owners in the North East by preventing pet relinquishment and providing essential services such as neutering support, free microchipping events, and health clinics. </w:t>
      </w:r>
      <w:r/>
    </w:p>
    <w:p>
      <w:r/>
      <w:r>
        <w:t>The local branch, which operates independently from the national RSPCA, relies on its community hub and charity shop in Chester-le-Street for funding. Rising costs and increased demand have prompted the charity to seek additional support to maintain and expand its services.</w:t>
      </w:r>
      <w:r/>
    </w:p>
    <w:p>
      <w:pPr>
        <w:pStyle w:val="Heading3"/>
      </w:pPr>
      <w:r>
        <w:t>Expert Warns Against Common Lawn Care Mistake</w:t>
      </w:r>
      <w:r/>
    </w:p>
    <w:p>
      <w:r/>
      <w:r>
        <w:t>Gardeners preparing for summer are cautioned against mowing their lawns too short. Joe from Joe's Lawn Care highlights that cutting grass too short can stress the lawn, reducing its ability to photosynthesize and making it more susceptible to pests and diseases. Instead, he recommends maintaining a grass height of around 3 to 3.5 inches for healthier lawns.</w:t>
      </w:r>
      <w:r/>
    </w:p>
    <w:p>
      <w:r/>
      <w:r>
        <w:t>By following these guidelines, gardeners can ensure their lawns remain healthy and vibrant throughout the summer months.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