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Scottish Government under fire for jeopardising £4.5 billion housing investments amid investor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Scottish Government is facing significant backlash after failing to address investor concerns, jeopardizing £4.5 billion in planned housing investments. Industry leaders have expressed dissatisfaction, stating that the lack of decisive action amid Scotland's ongoing housing crisis could hinder the construction of thousands of new homes. This criticism follows recent announcements from Housing Minister Paul McLennan that have been described as insufficiently urgent.</w:t>
      </w:r>
      <w:r/>
    </w:p>
    <w:p>
      <w:r/>
      <w:r>
        <w:t>The controversy stems from rent control measures introduced in 2022, which were meant to be temporary but are now incorporated into long-term housing plans. This has reportedly discouraged investors, with several major housing projects either canceled or repurposed. David Melhuish from the Scottish Property Federation highlighted that investor uncertainty caused by the Housing Bill could delay rent control policies for up to eight years, driving investments away.</w:t>
      </w:r>
      <w:r/>
    </w:p>
    <w:p>
      <w:r/>
      <w:r>
        <w:t>Jane Wood of Homes for Scotland noted a 24% decline in new housing starts and completions in 2023, attributing this to regulatory and budgetary challenges. A coalition including various housing organizations has called for urgent reform, criticizing the government’s 'business as usual' approach despite declaring a housing emergency.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