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Tories Put Focus on Improving Rural Trunk Roads in Manifesto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Scottish Tories Prioritize Rural Trunk Road Improvements in Manifesto</w:t>
      </w:r>
      <w:r/>
    </w:p>
    <w:p>
      <w:r/>
      <w:r>
        <w:t>Scottish Conservative leader Douglas Ross highlighted the campaign to improve Scotland’s rural trunk road network, especially the A9, as a central pledge in the party's manifesto. Transport Scotland manages the country's roads on behalf of the Scottish Government. The A9, which runs from the central belt to the Highlands, is noted for its high accident rates, and plans to upgrade it to a dual carriageway have faced several delays. Ross emphasized the importance of these improvements ahead of the General Election on July 4, making it one of the top five priorities for elected Scottish Conservative MPs.</w:t>
      </w:r>
      <w:r/>
    </w:p>
    <w:p>
      <w:r/>
      <w:r>
        <w:rPr>
          <w:b/>
        </w:rPr>
        <w:t>Tim Iroegbunam Moves from Aston Villa to Everton for £9m</w:t>
      </w:r>
      <w:r/>
    </w:p>
    <w:p>
      <w:r/>
      <w:r>
        <w:t>Aston Villa midfielder Tim Iroegbunam has completed a move to Everton for around £9 million. Iroegbunam joined Villa from West Brom in 2021 and spent last season on loan at Queens Park Rangers, making 32 appearances. Villa sold Iroegbunam to fund new signings, adhering to the Premier League's Profit and Sustainability Rules. Lewis Dobbin is expected to move in the opposite direction as part of the deal.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