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 and China Spearhead Sustainable Energy Practices with Innovative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Malaysia and China Advocates for Sustainable Energy Practices</w:t>
      </w:r>
      <w:r/>
    </w:p>
    <w:p>
      <w:r/>
      <w:r>
        <w:rPr>
          <w:b/>
        </w:rPr>
        <w:t>Kuala Lumpur, Malaysia (June 23):</w:t>
      </w:r>
      <w:r>
        <w:t xml:space="preserve"> Prime Minister Datuk Seri Anwar Ibrahim reiterated the Madani government's dedication to reducing Malaysia’s carbon footprint and fostering sustainable practices. Key initiatives include multifaceted policies aimed at reducing carbon emissions, promoting social equity, and encouraging green economic growth. Substantial funds have been allocated towards renewable energy sources and eco-friendly farming practices. Additionally, Malaysia is focusing on green transportation solutions to mitigate environmental impact and enhance connectivity.</w:t>
      </w:r>
      <w:r/>
    </w:p>
    <w:p>
      <w:r/>
      <w:r>
        <w:rPr>
          <w:b/>
        </w:rPr>
        <w:t>Beijing, China (June 23):</w:t>
      </w:r>
      <w:r>
        <w:t xml:space="preserve"> Mingyang Smart Energy Group Co., Ltd., a new energy company based in Zhongshan, Guangdong Province, successfully tested a 12-megawatt typhoon-resistant wind turbine. The simulation aimed to harness wind energy under extreme conditions, integrating detailed analyses of typhoon-zone operational data into turbine designs. By 2023, over 2,000 smart turbines had been deployed in China’s typhoon-prone areas, including a model in Zhuhai that withstood super typhoon Saola with uninterrupted operation.</w:t>
      </w:r>
      <w:r/>
    </w:p>
    <w:p>
      <w:r/>
      <w:r>
        <w:t>Further advancements include specialized turbine designs for varied geographical challenges, such as mountainous regions and sandstorm-prone areas. The integration of digitalization and AI in wind farm operations, exemplified by Yunnan International Power Investment Co., Ltd., has led to significant improvements in monitoring and maintenance efficiency.</w:t>
      </w:r>
      <w:r/>
    </w:p>
    <w:p>
      <w:r/>
      <w:r>
        <w:t>Over the past decade, China has seen a considerable reduction in energy consumption per GDP unit and carbon dioxide emissions. The country leads globally in installed capacities of wind, photovoltaic, and hydropower, fostering opportunities for scientific and technological innovation in green energy.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