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Global Markets Forecasted to Experience Substantial Growth Across Various Sectors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global market for Web3 solutions is forecasted to experience substantial growth from 2024 to 2031, according to a detailed report by Worldwide Market Reports. Major industry players such as Tencent Cloud, Microsoft, Sinohope, and Chainalysis are identified, exploring opportunities in sectors like blockchain platforms, decentralized applications (dApps), decentralized finance (DeFi), and non-fungible tokens (NFTs). This market is segmented based on product types and applications, including large enterprises and SMEs, across key regions such as North America, Europe, Asia-Pacific, South America, and the Middle East &amp; Africa.</w:t>
      </w:r>
      <w:r/>
    </w:p>
    <w:p>
      <w:r/>
      <w:r>
        <w:t>Another notable market report from ResearchAndMarkets.com projects the global plastics recycling market to grow from $42.4 billion in 2024 to $57.9 billion by 2029, with a CAGR of 6.4%. Key drivers include the need for reducing environmental footprints and advances in recycling technologies. Companies like Berry Global Inc. and Veolia Environnement S.A. are prominent players, utilizing mechanical and chemical recycling technologies in industries such as packaging, construction, and transportation.</w:t>
      </w:r>
      <w:r/>
    </w:p>
    <w:p>
      <w:r/>
      <w:r>
        <w:t>Furthermore, MarketDigits’ report highlights the carbon credit trading platform market's significant growth, expected to go from $132 billion in 2024 to $948.6 billion by 2030, growing at a CAGR of 24.5%. Key companies in this sphere include AirCarbon Exchange and BetaCarbon, working within voluntary and compliance types through systems like cap and trade and baseline and credit. This market is critical in sectors like industrial, utilities, energy, and petrochemical.</w:t>
      </w:r>
      <w:r/>
    </w:p>
    <w:p>
      <w:r/>
      <w:r>
        <w:t>Additionally, the global engineering plastics market, valued at USD 119.32 billion in 2024, is projected to reach USD 173.57 billion by 2031, with a CAGR of 5.5%. This growth is driven by the automotive and aerospace industries' increasing demand for lightweight and durable materials. Major players include Arkema Group, BASF SE, and DuPont, focusing on product types such as polyamides, polycarbonates, and acrylonitrile butadiene styrene (ABS). The market is segmented into automotive, electrical and electronics, construction, medical, industrial machinery, and packaging applications.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