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Howden Launches Groundbreaking Carbon Credit Insurance Policy to Boost Trust in Voluntary 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insurance intermediary Howden has launched the first Warranty and Indemnity (W&amp;I) insurance policy for carbon credits, specifically covering the sale of credits from Mere Plantations' reafforestation project in Ghana, West Africa. Mere Plantations, based in the UK, operates a teak plantation in the region. This pioneering policy aims to enhance trust in the carbon market by ensuring the credibility and value of carbon credits.</w:t>
      </w:r>
      <w:r/>
    </w:p>
    <w:p>
      <w:r/>
      <w:r>
        <w:t>The W&amp;I policy is designed to bolster investment by providing confidence that the carbon credits comply with high standards of environmental, social, and financial due diligence. Charlie Pool, head of carbon insurance at Howden, highlighted that the insurance would improve the voluntary carbon market by addressing transparency and governance issues, thereby increasing the value of the credits and encouraging further project development.</w:t>
      </w:r>
      <w:r/>
    </w:p>
    <w:p>
      <w:r/>
      <w:r>
        <w:t>Uniserve, a UK-based logistics company, is the first to purchase these insured carbon credits. Gary Cobbing, Uniserve's group chief commercial and operating officer, emphasized the added confidence the policy brings to their investment in sustainability initiatives.</w:t>
      </w:r>
      <w:r/>
    </w:p>
    <w:p>
      <w:r/>
      <w:r>
        <w:t>This initiative follows several other Howden-led projects in the carbon sector, including a voluntary carbon credit insurance product launched in 2022 and an insurance product for carbon capture and storage facilities announced in January 2024.</w:t>
      </w:r>
      <w:r/>
    </w:p>
    <w:p>
      <w:r/>
      <w:r>
        <w:t>Mark Hogg, CEO of Mere Plantations, expressed that the insurance policy supports their goal of demonstrating that reestablishing degraded forest land can be commercially viable without government aid, thereby unlocking the potential of the carbon market.</w:t>
      </w:r>
      <w:r/>
    </w:p>
    <w:p>
      <w:r/>
      <w:r>
        <w:t>Overall, the introduction of this W&amp;I policy represents a significant step in enhancing the integrity and investment appeal of carbon credits in the voluntary carbon market.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