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Howden Launches Groundbreaking W&amp;I Insurance for Carbon Credits in Reforestation Projects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Global insurance broker Howden has launched a Warranty and Indemnity (W&amp;I) insurance policy, a first for the sales of carbon credits tied to reforestation projects. This policy provides coverage for carbon credits generated by Mere Plantations' reforestation efforts in Ghana, West Africa.</w:t>
      </w:r>
      <w:r/>
    </w:p>
    <w:p>
      <w:r/>
      <w:r>
        <w:t>Mere Plantations, based in the UK, operates a teak plantation in Ghana. The partnership with Howden aims to bolster market trust and attract more investment into the carbon market by insuring the integrity and value of carbon credits. The policy enables project developers to utilize the expertise of the M&amp;A insurance market for their carbon credit projects' methodology and execution.</w:t>
      </w:r>
      <w:r/>
    </w:p>
    <w:p>
      <w:r/>
      <w:r>
        <w:t xml:space="preserve">Uniserve, a UK logistics company, is the first to purchase these insured carbon credits. Howden's head of carbon insurance, Charlie Pool, emphasized that the insurance guarantees the credibility of carbon credits, addressing issues of trust and transparency. </w:t>
      </w:r>
      <w:r/>
    </w:p>
    <w:p>
      <w:r/>
      <w:r>
        <w:t>This initiative follows Howden's previous forays into the carbon market, including launching the first voluntary carbon credit insurance product in 2022 and an insurance product for carbon dioxide leakage from storage facilities in early 2024.</w:t>
      </w:r>
      <w:r/>
    </w:p>
    <w:p>
      <w:r/>
      <w:r>
        <w:t>Mere Plantations' CEO, Mark Hogg, highlighted the company's goal of demonstrating the commercial viability of reestablishing degraded forest land without external aid, stating that this new insurance product will instill confidence in the voluntary carbon market.</w:t>
      </w:r>
      <w:r/>
    </w:p>
    <w:p>
      <w:r/>
      <w:r>
        <w:t>Gary Cobbing, Uniserve's Group Chief Commercial and Operating Officer, expressed confidence in the partnership, noting the policy's role in reinforcing transparency and social value through local community support in Ghana.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