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Legionella Testing and Carbon Footprint Management Markets: Projections and Forecasts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Legionella Testing Market Projections 2024-2031</w:t>
      </w:r>
      <w:r/>
    </w:p>
    <w:p>
      <w:r/>
      <w:r>
        <w:t>The Legionella Testing Market is forecasted to experience substantial growth from 2024 to 2031, driven by rising demand and technological advancements. Key players in this market include Eurofins Scientific, ALS Limited, Bio-Rad Laboratories, and others. The market segments cover a range of test types such as the Culture Method, Urinary Antigen Test (UAT), Direct Fluorescent Antibody (DFA) Test, Polymerase Chain Reaction (PCR), and others, with applications split between clinical and environmental testing methods.</w:t>
      </w:r>
      <w:r/>
    </w:p>
    <w:p>
      <w:r/>
      <w:r>
        <w:t>Key growth drivers include increased global awareness of Legionella risks, the expansion of water treatment industries, and advancements in testing technologies. Geographic analysis indicates significant market presence in North America, Europe, Asia-Pacific, South America, the Middle East, and Africa.</w:t>
      </w:r>
      <w:r/>
    </w:p>
    <w:p>
      <w:pPr>
        <w:pStyle w:val="Heading3"/>
      </w:pPr>
      <w:r>
        <w:t>Carbon Footprint Management Market Forecast 2023-2029</w:t>
      </w:r>
      <w:r/>
    </w:p>
    <w:p>
      <w:r/>
      <w:r>
        <w:t>The global Carbon Footprint Management Market is projected to reach USD 15.50 billion by 2029, growing at a CAGR of 6.18% from 2023. The market growth is propelled by strict regulatory frameworks, corporate sustainability initiatives, and the adoption of carbon footprint reduction strategies. The market is segmented by deployment (On-Premises, On-Demand), type (Software, Services), and verticals (Manufacturing, IT and Telecom, Commercial Building, Transportation, Utilities).</w:t>
      </w:r>
      <w:r/>
    </w:p>
    <w:p>
      <w:r/>
      <w:r>
        <w:t>North America is expected to maintain dominance, driven by governmental policies aimed at reducing greenhouse gas emissions. Major players in this market include Ecova, Inc., Enablon SA, IHS Markit Ltd., and Schneider Electric SE.</w:t>
      </w:r>
      <w:r/>
    </w:p>
    <w:p>
      <w:r/>
      <w:r>
        <w:t>Both markets indicate promising growth opportunities, driven by technological advancements and increasing regulatory pressures on environmental management and health safety standards.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