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Vattenfall and Cemvision Partner to Develop Low-Carbon Cement, Targets 95% Emission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Sweden-based Vattenfall and Cemvision have announced a new agreement to develop and supply low-carbon cement that could reduce carbon emissions by up to 95%. Cement production, a major contributor to global carbon emissions, typically generates approximately 900 kg of CO2 per 1000 kg of material produced.</w:t>
      </w:r>
      <w:r/>
    </w:p>
    <w:p>
      <w:r/>
      <w:r>
        <w:t>Cemvision, founded in 2020 by Paul Sandberg, Claes Kollberg, and Marcus Olsson, offers an alternative to traditional Portland cement using recycled industrial waste materials and green electricity at lower temperatures. This method results in a 95% lower carbon footprint.</w:t>
      </w:r>
      <w:r/>
    </w:p>
    <w:p>
      <w:r/>
      <w:r>
        <w:t>Already in its demo production phase, Cemvision claims to reduce carbon emissions by 80%, with aims to reach 95% by 2030. The partnership with Vattenfall will see potential applications in wind power turbines, power distribution, and prefabricated concrete elements.</w:t>
      </w:r>
      <w:r/>
    </w:p>
    <w:p>
      <w:r/>
      <w:r>
        <w:t>Vattenfall, a founding member of the First Movers Coalition, has pledged that at least 10% of its cement or concrete purchases will be near-zero emissions by 2030.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