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Avoid Costly Mistakes: Gardeners Warned of Fines Up to £5,000 for Common Infractions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temperatures in the UK are expected to rise to 31C this week, gardeners are advised to avoid several common mistakes that could lead to significant fines. Homeowners can face fines up to £5,000 for various garden-related infractions under different regulations.</w:t>
      </w:r>
      <w:r/>
    </w:p>
    <w:p>
      <w:r/>
      <w:r>
        <w:rPr>
          <w:b/>
        </w:rPr>
        <w:t>Japanese Knotweed:</w:t>
      </w:r>
      <w:r>
        <w:t xml:space="preserve"> Under the Wildlife and Countryside Act 1981, it is illegal to allow Japanese Knotweed, a fast-growing invasive plant, to spread into natural areas. Offenders may face fines up to £5,000 and a potential prison term of up to two years.</w:t>
      </w:r>
      <w:r/>
    </w:p>
    <w:p>
      <w:r/>
      <w:r>
        <w:rPr>
          <w:b/>
        </w:rPr>
        <w:t>High Hedges and Fences:</w:t>
      </w:r>
      <w:r>
        <w:t xml:space="preserve"> The Anti-social Behaviour Act 2003 states that excessively high fences and hedges causing disturbances can result in fines up to £1,000 if homeowners fail to comply with local authority notices to reduce their height after complaints from neighbors.</w:t>
      </w:r>
      <w:r/>
    </w:p>
    <w:p>
      <w:r/>
      <w:r>
        <w:rPr>
          <w:b/>
        </w:rPr>
        <w:t>Noise Nuisance:</w:t>
      </w:r>
      <w:r>
        <w:t xml:space="preserve"> The Environmental Protection Act 1990 identifies noise as a "statutory nuisance." Persistent unreasonable noise can result in initial fines up to £110 for homes, increasing to £1,000 if warnings are ignored.</w:t>
      </w:r>
      <w:r/>
    </w:p>
    <w:p>
      <w:r/>
      <w:r>
        <w:rPr>
          <w:b/>
        </w:rPr>
        <w:t>Non-native Plant Species:</w:t>
      </w:r>
      <w:r>
        <w:t xml:space="preserve"> Growing non-native plant species can incur unlimited fines and up to two years' imprisonment under the Wildlife and Countryside Act 1981 if they negatively impact the ecosystem.</w:t>
      </w:r>
      <w:r/>
    </w:p>
    <w:p>
      <w:r/>
      <w:r>
        <w:rPr>
          <w:b/>
        </w:rPr>
        <w:t>Hose Pipe Ban:</w:t>
      </w:r>
      <w:r>
        <w:t xml:space="preserve"> Violating a hose pipe ban, often implemented during high water demand periods, can lead to fines up to £1,000 under Section 76 of the Water Industry Act 1991.</w:t>
      </w:r>
      <w:r/>
    </w:p>
    <w:p>
      <w:r/>
      <w:r>
        <w:t>Anna McEntee from Compare the Market advises homeowners to review regulations and check with local authorities to avoid these penalties. She also highlights the importance of checking home insurance policies concerning garden structures and maintenance to ensure coverage is not affected by changes.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