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Chapel Down Seeks Strategic Review for Long-Term Funding amid Expansion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Chapel Down, the UK's largest wine producer, has announced a strategic review to secure long-term funding for expansion. Based in Tenterden, Kent, the company is considering raising £30 million either through equity from current or new shareholders, or potentially selling itself. Rothschild &amp; Co is advising on the review.</w:t>
      </w:r>
      <w:r/>
    </w:p>
    <w:p>
      <w:r/>
      <w:r>
        <w:t>The company, which saw a 14% rise in sales to £17.9 million and an 87% increase in pre-tax profits last year, aims to plant more vineyards and build a new winery by 2026. Known for its award-winning sparkling wines, Chapel Down plans to expand its current 1,023 acres of vineyards and increase production to 3.4 million bottles from the last harvest.</w:t>
      </w:r>
      <w:r/>
    </w:p>
    <w:p>
      <w:r/>
      <w:r>
        <w:t>Interest in British wines has surged, partly fueled by climate change improving grape-growing conditions and significant investments from international wine producers. Major players like Taittinger and Freixenet have already acquired land in the UK. Chapel Down's potential sale or infusion of capital aims to position it competitively amidst growing domestic and international interest.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