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Hong Kong's Push for Cryptocurrency Regulation and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Hong Kong's Emergence as a Cryptocurrency Hub</w:t>
      </w:r>
      <w:r/>
    </w:p>
    <w:p>
      <w:r/>
      <w:r>
        <w:t xml:space="preserve">Hong Kong is positioning itself as a significant player in the cryptocurrency market with recent steps to establish a comprehensive regulatory framework. Johnny NG Kit-Chong, a member of the Hong Kong Special Administrative Region (HKSAR) Legislative Council, has announced the creation of a new subcommittee focused on drafting legislation concerning Web3 policies and virtual assets. </w:t>
      </w:r>
      <w:r/>
    </w:p>
    <w:p>
      <w:r/>
      <w:r>
        <w:t>The subcommittee aims to foster growth in Web3 technologies and to implement regulations that protect investors and maintain market stability. This approach includes focusing on the integration of artificial intelligence to enhance blockchain applications and exploring the regulation of stablecoins to ensure their secure and effective use.</w:t>
      </w:r>
      <w:r/>
    </w:p>
    <w:p>
      <w:r/>
      <w:r>
        <w:t>Hong Kong currently allows for the trading and holding of cryptocurrencies, though none are recognized as legal tender. Crypto activities are not taxed for individual investors, which encourages personal investment. For firms, however, crypto operations are subject to income taxes.</w:t>
      </w:r>
      <w:r/>
    </w:p>
    <w:p>
      <w:pPr>
        <w:pStyle w:val="Heading3"/>
      </w:pPr>
      <w:r>
        <w:t>UK Housebuilding Challenges Ahead of General Election</w:t>
      </w:r>
      <w:r/>
    </w:p>
    <w:p>
      <w:r/>
      <w:r>
        <w:t xml:space="preserve">Rachel Hughes, marketing director at Wienerberger UK and Ireland, has outlined several critical issues facing the UK's housebuilding sector ahead of the General Election. The sector contends with high borrowing costs, complex planning systems, and increasing building expenses. </w:t>
      </w:r>
      <w:r/>
    </w:p>
    <w:p>
      <w:r/>
      <w:r>
        <w:t xml:space="preserve">Recently, the Construction Markets Authority (CMA) report stated that new home constructions are far below the government’s target of 300,000 homes annually. Hughes proposes a "housebuilder's manifesto" calling for streamlined planning reforms, increased land availability, simplified regulations, and backed training programs to address the widening skills gap. </w:t>
      </w:r>
      <w:r/>
    </w:p>
    <w:p>
      <w:r/>
      <w:r>
        <w:t>To meet sustainability goals, Hughes advocates for government subsidies or incentives for eco-friendly building materials and practices. Essentially, clear policies and decisive actions from the upcoming government could stabilize and boost the housebuilding sector.</w:t>
      </w:r>
      <w:r/>
    </w:p>
    <w:p>
      <w:pPr>
        <w:pStyle w:val="Heading3"/>
      </w:pPr>
      <w:r>
        <w:t>British Interest in Saudi Arabia’s Vision 2030</w:t>
      </w:r>
      <w:r/>
    </w:p>
    <w:p>
      <w:r/>
      <w:r>
        <w:t>British investors have shown interest in investing in renewable energy and sustainable infrastructure projects in Saudi Arabia, aligning with Saudi Vision 2030. The interest was expressed during the British-Saudi Sustainable Infrastructure Summit in London, organized by the Saudi-British Business Council.</w:t>
      </w:r>
      <w:r/>
    </w:p>
    <w:p>
      <w:r/>
      <w:r>
        <w:t>The summit highlighted several key Saudi projects and discussed the role of public-private partnerships and innovative financing models, including green bonds. The collaborative effort aims to bridge the investment gap and promote sustainable infrastructure, with a specific focus on environmentally friendly technologies to achieve net-zero emissions.</w:t>
      </w:r>
      <w:r/>
    </w:p>
    <w:p>
      <w:r/>
      <w:r>
        <w:t>This renewed British investment interest reflects the growing economic relations between Saudi Arabia and the UK, with trade between the two countries growing significantly.</w:t>
      </w:r>
      <w:r/>
    </w:p>
    <w:p>
      <w:pPr>
        <w:pStyle w:val="Heading3"/>
      </w:pPr>
      <w:r>
        <w:t>Future Economy Seminar in South West England</w:t>
      </w:r>
      <w:r/>
    </w:p>
    <w:p>
      <w:r/>
      <w:r>
        <w:t>The Future Economy Seminar in Bristol, organized by JBP, gathered industry leaders to discuss the region's transition towards a green economy. The seminar, attended by various industry and educational leaders, addressed skill gaps, barriers to progress, and the role of industry and education in fostering a sustainable skills ecosystem.</w:t>
      </w:r>
      <w:r/>
    </w:p>
    <w:p>
      <w:r/>
      <w:r>
        <w:t>Summarized key points included the need for substantial investment in training programs, collaboration between educational institutions and industries, and strategic investments to meet the region’s ambitious net-zero target by 2030. Policy recommendations and collaborative efforts were outlined to tackle the skills shortage and attract more people to green jobs, emphasizing the importance of both regional and national support for these initiatives.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