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Approves Summit Carbon Solutions Pipeline Despite Resistance from Environmental Groups and Landowners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Iowa Approves Summit Carbon Solutions Pipeline, Awaits Further State Approvals</w:t>
      </w:r>
      <w:r/>
    </w:p>
    <w:p>
      <w:r/>
      <w:r>
        <w:t>Iowa regulators have approved Summit Carbon Solutions' proposal to build a 688-mile carbon dioxide capture pipeline across Iowa, marking the first significant state-level approval needed for the project that aims to span five states. The decision, issued by the Iowa Utilities Board (IUB) on Tuesday, concludes over three years of deliberation.</w:t>
      </w:r>
      <w:r/>
    </w:p>
    <w:p>
      <w:r/>
      <w:r>
        <w:t>The IUB's 507-page order highlights that the pipeline will "promote the public convenience and necessity" and grants Summit the right to use eminent domain to obtain necessary land. Out of the nearly 700 miles of pipeline designated for Iowa, 859 land parcels remain where owners have not agreed to voluntary easements.</w:t>
      </w:r>
      <w:r/>
    </w:p>
    <w:p>
      <w:r/>
      <w:r>
        <w:t>Summit Carbon Solutions aims to connect to 57 ethanol plants in Iowa to capture CO2 emissions and transport them to an underground reservoir in North Dakota. The pipeline is designed to transport 18 million metric tons of carbon dioxide annually. While the company has secured 75% of voluntary easements from Iowa landowners, it still requires approvals from North Dakota and South Dakota before beginning construction in Iowa.</w:t>
      </w:r>
      <w:r/>
    </w:p>
    <w:p>
      <w:r/>
      <w:r>
        <w:t>Summit CEO Lee Blank expressed optimism about the project's future, indicating plans to file a permit application in South Dakota soon. However, the project has faced significant resistance from environmental groups and landowners, particularly over concerns about the use of eminent domain and the pipeline's actual impact on reducing greenhouse gas emissions.</w:t>
      </w:r>
      <w:r/>
    </w:p>
    <w:p>
      <w:r/>
      <w:r>
        <w:t xml:space="preserve">State lawmakers have attempted to limit the use of eminent domain for such projects, with several measures passing the Iowa House but stalling in the Senate. The IUB decision includes conditions such as maintaining a $100 million insurance policy and compensating landowners for potential damages. </w:t>
      </w:r>
      <w:r/>
    </w:p>
    <w:p>
      <w:r/>
      <w:r>
        <w:t>Proponents, including Iowa corn growers and ethanol producers, argue that the project will boost the state's economy by opening new markets for ethanol, especially in sustainable aviation fuel. Critics, however, like Food and Water Watch Policy Director Jim Walsh, argue that the pipeline primarily benefits large agricultural and ethanol corporations while posing risks to public safety and offering limited environmental benefits.</w:t>
      </w:r>
      <w:r/>
    </w:p>
    <w:p>
      <w:r/>
      <w:r>
        <w:t>Summit's proposal is part of a larger 2,500-mile network across Iowa, Minnesota, Nebraska, South Dakota, and North Dakota. The decision in Iowa is a crucial milestone, but further regulatory hurdles remain in other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