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M2X Energy Receives $40 Million Investment to Scale Methane Conversion Systems, Neustark Secures $69 Million for CO₂ Removal Technology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M2X Energy Secures $40 Million in Series B Financing to Expand Methane Conversion Systems</w:t>
      </w:r>
      <w:r/>
    </w:p>
    <w:p>
      <w:r/>
      <w:r>
        <w:t>M2X Energy, a company developing modular gas-to-liquid systems to convert stranded methane into low-carbon methanol, has raised $40 million in a Series B funding round led by Conifer Infrastructure Partners. Existing investors Breakthrough Energy Ventures (BEV), Eni Next, Add Ventures by SCG, and Autodesk Foundation also participated.</w:t>
      </w:r>
      <w:r/>
    </w:p>
    <w:p>
      <w:r/>
      <w:r>
        <w:t>The financing will advance M2X's efforts to manufacture and deploy its first commercial fleet of methanol production systems. The company has established a 10,000-square-foot manufacturing space and has begun sourcing biogas feedstocks for future biomethanol production, targeting early 2025 for commercial deployment under long-term agreements.</w:t>
      </w:r>
      <w:r/>
    </w:p>
    <w:p>
      <w:r/>
      <w:r>
        <w:rPr>
          <w:b/>
        </w:rPr>
        <w:t>Neustark Raises $69 Million for Carbon Dioxide Removal Technology</w:t>
      </w:r>
      <w:r/>
    </w:p>
    <w:p>
      <w:r/>
      <w:r>
        <w:t>Swiss-based carbon removal firm Neustark has raised $69 million in a funding round led by Decarbonization Partners, a collaboration between BlackRock and Temasek. The investment will aid Neustark’s mission to remove 1 million tons of CO₂ by 2030. Blume Equity also joined the round, along with existing backers Holcim, Siemens Financial Services, Verve Ventures, ACE Ventures, and UBS via debt financing.</w:t>
      </w:r>
      <w:r/>
    </w:p>
    <w:p>
      <w:r/>
      <w:r>
        <w:t>Neustark has 19 carbon capture and storage plants operational in Europe and plans to expand with 40 more under construction. Neustark captures CO₂ from biogas plants, binds it to mineral waste, and uses the carbonated material for construction, ensuring long-term carbon storage. These efforts support the construction industry's decarbonization and align with global net-zero targets.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