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Companies Making Strides in Sustainability and Carbon Reduction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Koppers Holdings Inc. reported major strides in its sustainability initiatives, achieving a 50% reduction in Scope 1 and Scope 2 greenhouse gas emissions seven years ahead of the 2030 target. Noteworthy accomplishments also include the publication of the company’s first Taskforce on Climate-Related Financial Disclosures (TCFD) report, significant improvements in safety performance with the lowest Total Recordable Injury Rate since 2018, and higher employee engagement scores. Koppers introduced a new wood treatment product, MicroPro® XPS, and was recognized for its efforts by Newsweek and USA TODAY.</w:t>
      </w:r>
      <w:r/>
    </w:p>
    <w:p>
      <w:r/>
      <w:r>
        <w:t>Vizsla Silver Corp. shared promising drilling results from its Panuco silver-gold project in Mexico. Highlights include high-grade silver equivalent values from five new drill holes within the Copala resource area, indicating substantial mineral continuity. This announcement followed previous estimates indicating significant in-situ indicated and inferred resources. Ongoing infill drilling aims to upgrade near-surface indicated mineral resources by mid to late July.</w:t>
      </w:r>
      <w:r/>
    </w:p>
    <w:p>
      <w:r/>
      <w:r>
        <w:t>Shell Canada announced a Final Investment Decision (FID) for the Polaris carbon capture project at its Scotford refinery and chemicals complex in Alberta, Canada. Polaris aims to capture 650,000 tonnes of CO2 annually. Additionally, Shell and ATCO EnPower progressed with the Atlas Carbon Storage Hub, which will store CO2 from the Polaris project. Both projects are scheduled to begin operations by the end of 2028, furthering Shell's carbon reduction initiatives.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