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ExxonMobil and Air Liquide Partner to Enhance Low-Carbon Hydrogen Production at Texas Facility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ExxonMobil and Air Liquide have announced an agreement aimed at enhancing low-carbon hydrogen and low-carbon ammonia production at ExxonMobil's Baytown, Texas facility. This collaborative effort will involve the use of Air Liquide’s existing pipeline network to distribute low-carbon hydrogen. </w:t>
      </w:r>
      <w:r/>
    </w:p>
    <w:p>
      <w:r/>
      <w:r>
        <w:t>Air Liquide is set to construct and manage four Large Modular Air separation units (LMAs), which will supply the facility with 9,000 metric tons of oxygen and up to 6,500 metric tons of nitrogen daily. These LMAs will largely operate on low-carbon electricity to minimize the project's carbon footprint.</w:t>
      </w:r>
      <w:r/>
    </w:p>
    <w:p>
      <w:r/>
      <w:r>
        <w:t>ExxonMobil's Baytown facility, upon completion, will be the largest hydrogen production facility worldwide. It is projected to generate 1 billion cubic feet of low-carbon hydrogen per day and over 1 million tons of ammonia annually. The facility aims to capture more than 98% of the CO2 emissions linked to its production processes.</w:t>
      </w:r>
      <w:r/>
    </w:p>
    <w:p>
      <w:r/>
      <w:r>
        <w:t>Dan Ammann, President of ExxonMobil Low Carbon Solutions, highlighted the significance of the partnership, noting its contribution to expanding the hydrogen market along the U.S. Gulf Coast, thereby aiding industrial clients in reducing their carbon emissions.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