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Kingfisher Reports Significant Reduction in Carbon Emissions and Drive Towards Sustainability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Kingfisher has published its 2023/24 Responsible Business report, focusing on environmental sustainability and community initiatives. The home improvement retailer reports a 62% reduction in Scope 1 and 2 carbon emissions from the 2016/17 baseline, surpassing its 2025/26 target of 37.8%. Additionally, nearly half (49.4%) of its £6.4 billion in sales come from Sustainable Home Products (SHPs).</w:t>
      </w:r>
      <w:r/>
    </w:p>
    <w:p>
      <w:r/>
      <w:r>
        <w:t>Kingfisher is collaborating with vendors, including B&amp;Q and Screwfix, to set new targets for Scope 3 emissions. CEO Thierry Garnier noted the company's leadership in energy efficiency as part of its 'Powered by Kingfisher' strategy. The firm has also introduced a green star mark to help customers identify eco-friendly products.</w:t>
      </w:r>
      <w:r/>
    </w:p>
    <w:p>
      <w:r/>
      <w:r>
        <w:t>On inclusivity, women hold 28.6% of senior leadership roles and 39.6% of management positions. Kingfisher has met its goal to assist over 2 million people with housing needs by 2025/26 ahead of schedule, reaching 3.2 million people since 2016/17.</w:t>
      </w:r>
      <w:r/>
    </w:p>
    <w:p>
      <w:r/>
      <w:r>
        <w:t>In separate news, the world’s leading iron ore miners, including Rio Tinto, Vale, BHP Group, and Fortescue, have set various carbon reduction targets. Rio Tinto plans to cut Scope 1 and 2 emissions by 15% by 2025 and reach net zero by 2050. Vale aims for a 33% reduction in Scope 1 and 2 emissions by 2030 and net zero by 2050. BHP targets a 30% reduction in operational emissions by 2030 and net zero by 2050. Fortescue seeks net zero operational emissions by 2030 and a 7.5% reduction in emissions intensity from steelmaking customers by the same year.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