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Polling Shows Strong Support for Lifting Onshore Wind Farm Ban Ahead of UK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Polling indicates nearly three-quarters of people support lifting the effective ban on new onshore wind farms in England within weeks of the upcoming election. The ban, introduced under David Cameron in 2015, prevents new wind projects if there are any local objections. Though the Conservative government made changes last year to facilitate onshore wind development, critics argue these measures are insufficient.</w:t>
      </w:r>
      <w:r/>
    </w:p>
    <w:p>
      <w:r/>
      <w:r>
        <w:t>Labour has committed to overturning the ban quickly if they gain power. Polling by Savanta for climate charity Possible found that 74% of respondents favor the quick removal of the ban, citing benefits like reduced energy bills and climate improvements. Only 11% opposed the move. This support spans political lines, with 70% of potential Conservative voters and 58% of Reform party supporters approving the repeal.</w:t>
      </w:r>
      <w:r/>
    </w:p>
    <w:p>
      <w:r/>
      <w:r>
        <w:t>Alethea Warrington, senior campaigner at Possible, highlights onshore wind's popularity due to its economic and environmental benefits. The poll shows public eagerness for the next government to enable this clean energy source post-election.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