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SDLP Manifesto Emphasises Unique Approach to Delivering Change with Labour Government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Social Democratic and Labour Party (SDLP) has emphasized that its MPs are best positioned to deliver change due to their robust relationship with the anticipated Labour government in London. This assertion is central to their manifesto, launched by party leader Colum Eastwood in Derry.</w:t>
      </w:r>
      <w:r/>
    </w:p>
    <w:p>
      <w:r/>
      <w:r>
        <w:t>Eastwood, who regained the Foyle seat in 2019 with a 17,000 majority, is one of 18 SDLP candidates contesting in Northern Ireland. Alongside Claire Hanna, defending her seat in South Belfast and Mid Down, Eastwood has highlighted the importance of Westminster representation, setting the SDLP apart from Sinn Féin's abstentionist policy.</w:t>
      </w:r>
      <w:r/>
    </w:p>
    <w:p>
      <w:r/>
      <w:r>
        <w:t>The SDLP's manifesto promises to use its House of Commons votes to avoid a Conservative government and to lobby for increased investment in Northern Ireland's public services. It pledges to press for repealing the Conservative government’s legacy legislation, aligning with Labour leader Sir Keir Starmer’s commitments.</w:t>
      </w:r>
      <w:r/>
    </w:p>
    <w:p>
      <w:r/>
      <w:r>
        <w:t>Addressing healthcare, the SDLP advocates for significant intervention in the regional health and social care system and aims to secure corresponding Treasury funding. In education, they propose above-inflation pay increases for staff, measures against educational underachievement, and caps on school uniform costs. The manifesto also calls for greater investment in arts and culture.</w:t>
      </w:r>
      <w:r/>
    </w:p>
    <w:p>
      <w:r/>
      <w:r>
        <w:t>The party intends to continue its New Ireland Commission project, focusing on 12 key policy areas such as education, skills, and climate change. Additionally, the SDLP supports the establishment of an independent environmental protection agency and animal cruelty legislation.</w:t>
      </w:r>
      <w:r/>
    </w:p>
    <w:p>
      <w:r/>
      <w:r>
        <w:t>Internationally, the SDLP urges the British foreign secretary to ban arms sales to Israel and calls for the release of hostages from the October 7 Hamas attack. Colum Eastwood reaffirmed their plan to defend existing seats and aim to reclaim South Down, while criticizing abstentionist practices of other parties.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