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WWF Criticises Politicians for Neglecting Environment Despite Public Prioritisation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Conservation charity WWF has criticized politicians for neglecting the environment, despite polling indicating that 80% of voters prioritize climate and nature issues. The charity highlights that the next five years are critical for preventing widespread environmental degradation in the UK and globally. Native species such as puffins, bluebells, and mountain hares face threats from climate change, pollution, and habitat loss.</w:t>
      </w:r>
      <w:r/>
    </w:p>
    <w:p>
      <w:r/>
      <w:r>
        <w:t>WWF's recent survey by More in Common shows that while 80% of respondents care about environmental issues, only 45% feel politicians share their concern. Additionally, 82% of people are as worried about pollution and countryside damage as they are about conflict and war. The poll also finds strong public support for environmental protection measures. These include requiring polluting businesses to contribute to nature restoration funds (80% support), investing in renewables to reduce energy bills (78%), ending the UK's contributions to global deforestation (66%), and supporting farmers to cut emissions and restore nature (72%).</w:t>
      </w:r>
      <w:r/>
    </w:p>
    <w:p>
      <w:r/>
      <w:r>
        <w:t>Tens of thousands of people recently marched in London, urging political action on environmental issues. Tanya Steele, WWF's Chief Executive, emphasized the importance of nature and climate in public opinion and called on all political parties to commit to substantive environmental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