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Allison Homes South West Welcomes New Team Members for Regional Expansion; Sunnica Energy Farm Project Faces Delay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Housebuilder Allison Homes South West has appointed five new team members as part of its regional expansion strategy. The new hires include Marcel Kozaczyk as Quantity Surveyor, Caroline Lunness as Sales Manager, Michelle Mitchell as Senior Development Estimator, Will Kennedy as Design Coordinator, and Tracey Taylor as Technical Administrator. Additionally, Mike Symonds has rejoined the team as Site Manager.</w:t>
      </w:r>
      <w:r/>
    </w:p>
    <w:p>
      <w:r/>
      <w:r>
        <w:t>Steve Fowler, managing director of Allison Homes South West, expressed enthusiasm for the new team members, citing their expertise and dedication as crucial to building quality communities across the South West. This strategic move is aligned with the company's plan for growth in the region.</w:t>
      </w:r>
      <w:r/>
    </w:p>
    <w:p>
      <w:r/>
      <w:r>
        <w:t>In another development, the Sunnica Energy Farm project, planned to span 16 towns and parishes across East Cambridgeshire and West Suffolk, faces another delay. The project, which includes a solar and battery plant, is under the Nationally Significant Infrastructure Project process. The final decision will be made by the Secretary of State for Energy Security and Net Zero, a position currently held by Claire Coutinho. The decision is postponed until after the general election due to customary ministerial discretion during the pre-election period.</w:t>
      </w:r>
      <w:r/>
    </w:p>
    <w:p>
      <w:r/>
      <w:r>
        <w:t>The "Say No to Sunnica" campaign group opposes the project, citing concerns over its impact on high-yielding farmland. However, Sunnica argues that the land is of poor quality and that the project will significantly contribute to the UK's renewable energy goals by 2050.</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