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Carbon Credits and Sustainable Practices Across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Carbon Credits and the Industries That Qualify</w:t>
      </w:r>
      <w:r/>
    </w:p>
    <w:p>
      <w:r/>
      <w:r>
        <w:rPr>
          <w:b/>
        </w:rPr>
        <w:t>Carbon credits</w:t>
      </w:r>
      <w:r>
        <w:t xml:space="preserve"> are becoming a pivotal element in the global fight against climate change. These transferable permits allow companies to offset their greenhouse gas emissions by investing in projects that reduce or eliminate CO2 and other harmful gases from the environment. With the market for carbon credits expected to reach $2.4 billion by 2027, understanding which sectors qualify for these credits is essential.</w:t>
      </w:r>
      <w:r/>
    </w:p>
    <w:p>
      <w:pPr>
        <w:pStyle w:val="Heading4"/>
      </w:pPr>
      <w:r>
        <w:t>Key Sectors Eligible for Carbon Credits</w:t>
      </w:r>
      <w:r/>
    </w:p>
    <w:p>
      <w:r/>
      <w:r>
        <w:t xml:space="preserve">1. </w:t>
      </w:r>
      <w:r>
        <w:rPr>
          <w:b/>
        </w:rPr>
        <w:t>Renewable Energy</w:t>
      </w:r>
      <w:r>
        <w:t>: Projects harnessing solar, wind, hydroelectric, and geothermal energy qualify by replacing fossil fuels and reducing emissions. This sector is well-positioned to benefit from the rising demand for clean energy solutions.</w:t>
      </w:r>
      <w:r/>
    </w:p>
    <w:p>
      <w:r/>
      <w:r>
        <w:t xml:space="preserve">2. </w:t>
      </w:r>
      <w:r>
        <w:rPr>
          <w:b/>
        </w:rPr>
        <w:t>Forestry and Land-Use</w:t>
      </w:r>
      <w:r>
        <w:t>: Initiatives such as reforestation, afforestation, and improved forest management are eligible because they effectively capture CO2. These projects also support biodiversity, water conservation, and local communities.</w:t>
      </w:r>
      <w:r/>
    </w:p>
    <w:p>
      <w:r/>
      <w:r>
        <w:t xml:space="preserve">3. </w:t>
      </w:r>
      <w:r>
        <w:rPr>
          <w:b/>
        </w:rPr>
        <w:t>Waste Management</w:t>
      </w:r>
      <w:r>
        <w:t>: Efforts to capture methane from landfills and wastewater facilities can earn carbon credits. Initiatives promoting waste reduction, recycling, and composting also contribute indirectly.</w:t>
      </w:r>
      <w:r/>
    </w:p>
    <w:p>
      <w:r/>
      <w:r>
        <w:t xml:space="preserve">4. </w:t>
      </w:r>
      <w:r>
        <w:rPr>
          <w:b/>
        </w:rPr>
        <w:t>Transportation</w:t>
      </w:r>
      <w:r>
        <w:t>: Developing electric vehicles, fuel-efficient technologies, and sustainable transport systems can qualify for credits. Shifting away from fossil fuels in transportation helps reduce air pollution and enhance public health.</w:t>
      </w:r>
      <w:r/>
    </w:p>
    <w:p>
      <w:r/>
      <w:r>
        <w:t xml:space="preserve">5. </w:t>
      </w:r>
      <w:r>
        <w:rPr>
          <w:b/>
        </w:rPr>
        <w:t>Industrial Processes</w:t>
      </w:r>
      <w:r>
        <w:t>: Sectors like cement, steel, and chemical production can earn credits by improving energy efficiency, adopting clean technologies, and implementing carbon capture and storage methods.</w:t>
      </w:r>
      <w:r/>
    </w:p>
    <w:p>
      <w:r/>
      <w:r>
        <w:t xml:space="preserve">6. </w:t>
      </w:r>
      <w:r>
        <w:rPr>
          <w:b/>
        </w:rPr>
        <w:t>Agriculture</w:t>
      </w:r>
      <w:r>
        <w:t>: Sustainable farming practices such as conservation tillage, cover cropping, and improved manure management qualify for credits by reducing emissions and enhancing soil health.</w:t>
      </w:r>
      <w:r/>
    </w:p>
    <w:p>
      <w:r/>
      <w:r>
        <w:t xml:space="preserve">7. </w:t>
      </w:r>
      <w:r>
        <w:rPr>
          <w:b/>
        </w:rPr>
        <w:t>Community-Based Initiatives</w:t>
      </w:r>
      <w:r>
        <w:t>: Projects like distributing improved cookstoves and developing clean water sources in rural areas reduce emissions and improve living standards.</w:t>
      </w:r>
      <w:r/>
    </w:p>
    <w:p>
      <w:pPr>
        <w:pStyle w:val="Heading4"/>
      </w:pPr>
      <w:r>
        <w:t>Compliance and Regulations</w:t>
      </w:r>
      <w:r/>
    </w:p>
    <w:p>
      <w:r/>
      <w:r>
        <w:t>The specific qualifications for carbon credits vary by carbon trading program and regulatory framework. Companies must familiarize themselves with the relevant standards to ensure compliance and optimize their participation in the carbon credit market.</w:t>
      </w:r>
      <w:r/>
    </w:p>
    <w:p>
      <w:pPr>
        <w:pStyle w:val="Heading4"/>
      </w:pPr>
      <w:r>
        <w:t>The Future in India</w:t>
      </w:r>
      <w:r/>
    </w:p>
    <w:p>
      <w:r/>
      <w:r>
        <w:t>India's carbon credit potential is boosted by digital technologies that enhance tracking and verification, ensuring transparency and reliability. Government policies and international collaborations are also pivotal in expanding carbon credit projects.</w:t>
      </w:r>
      <w:r/>
    </w:p>
    <w:p>
      <w:pPr>
        <w:pStyle w:val="Heading3"/>
      </w:pPr>
      <w:r>
        <w:t>Timber Industry and Environmental Sustainability</w:t>
      </w:r>
      <w:r/>
    </w:p>
    <w:p>
      <w:r/>
      <w:r>
        <w:t xml:space="preserve">The </w:t>
      </w:r>
      <w:r>
        <w:rPr>
          <w:b/>
        </w:rPr>
        <w:t>land and timber industry</w:t>
      </w:r>
      <w:r>
        <w:t xml:space="preserve"> is projected to grow significantly, with a forecasted value of $464.94 billion by 2029. The shift towards wooden buildings over concrete and steel is driven by sustainability concerns, as the construction industry contributes 36% of global CO2 emissions.</w:t>
      </w:r>
      <w:r/>
    </w:p>
    <w:p>
      <w:pPr>
        <w:pStyle w:val="Heading4"/>
      </w:pPr>
      <w:r>
        <w:t>Sustainable Timber Practices</w:t>
      </w:r>
      <w:r/>
      <w:r/>
    </w:p>
    <w:p>
      <w:pPr>
        <w:pStyle w:val="ListBullet"/>
        <w:spacing w:line="240" w:lineRule="auto"/>
        <w:ind w:left="720"/>
      </w:pPr>
      <w:r/>
      <w:r>
        <w:t>Plantations: They make up only 3% of world's forests but provide 50-60% of timber. Sustainable practices and certification programs like the Forest Stewardship Council (FSC) are essential for maintaining a responsible supply.</w:t>
      </w:r>
      <w:r/>
    </w:p>
    <w:p>
      <w:pPr>
        <w:pStyle w:val="ListBullet"/>
        <w:spacing w:line="240" w:lineRule="auto"/>
        <w:ind w:left="720"/>
      </w:pPr>
      <w:r/>
      <w:r>
        <w:t>Reforestation Initiatives: Programs like the Bonn Challenge aim to restore 350 million hectares of degraded land by 2030.</w:t>
      </w:r>
      <w:r/>
      <w:r/>
    </w:p>
    <w:p>
      <w:pPr>
        <w:pStyle w:val="Heading3"/>
      </w:pPr>
      <w:r>
        <w:t>Hedge Fund Insights</w:t>
      </w:r>
      <w:r/>
    </w:p>
    <w:p>
      <w:r/>
      <w:r>
        <w:rPr>
          <w:b/>
        </w:rPr>
        <w:t>Weyerhaeuser Company (NYSE:WY)</w:t>
      </w:r>
      <w:r>
        <w:t xml:space="preserve"> is a prominent player, managing 11 million acres of U.S. timberlands. In Q1 2024, their adjusted EBITDA rose to $352 million. The company also focuses on carbon capture agreements and sustainable practices. Analysts have a "Moderate Buy" rating on Weyerhaeuser, with a potential 30.85% upside.</w:t>
      </w:r>
      <w:r/>
    </w:p>
    <w:p>
      <w:r/>
      <w:r>
        <w:t>This information underscores the growing importance and potential profitability of carbon credits and sustainable practices across various industries.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