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Driving Regulations in France: What Tourists Need to Know for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New Driving Regulations in France: Important Changes for 2024</w:t>
      </w:r>
      <w:r/>
    </w:p>
    <w:p>
      <w:r/>
      <w:r>
        <w:t>As the 2024 Tour de France and Olympic Games in Paris draw numerous tourists to France, new driving regulations have been introduced to improve air quality and public health. Notably, a ban on diesel vehicles entering Parisian zones has been enacted.</w:t>
      </w:r>
      <w:r/>
    </w:p>
    <w:p>
      <w:r/>
      <w:r>
        <w:t>To comply with the regulations, vehicles must display a Crit'Air sticker. These stickers, categorizing vehicles based on emissions levels from green (cleanest) to dark grey (dirtiest), are mandatory for driving in designated clean air zones. Vehicles not meeting certain emissions standards, particularly those registered before January 1997 and motorcycles before June 2000, are prohibited from entering these zones. Non-compliance can result in fines ranging from €68 to €135.</w:t>
      </w:r>
      <w:r/>
    </w:p>
    <w:p>
      <w:r/>
      <w:r>
        <w:t>Additionally, drivers must carry high-visibility vests for emergencies and adhere to specific alcohol limits, which are lower for drivers with less than three years of experience (0.2 grams per litre) compared to those with more experience (0.5 grams per litre). Failure to comply with these rules can also lead to penalties.</w:t>
      </w:r>
      <w:r/>
    </w:p>
    <w:p>
      <w:r/>
      <w:r>
        <w:t>These measures highlight the importance of understanding and adhering to local driving laws to avoid fines and contribute to environmental sustainability.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