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NRC Reports 9.4% Decrease in Carbon Emissions per Staff Member in 2023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Norwegian Refugee Council (NRC) released its third annual Carbon Footprint Report for 2023, detailing the organization's greenhouse gas emissions and efforts to reduce its carbon footprint. The report reveals a reduction in total carbon emissions to 134 kilotonnes of CO2e from 147 kilotonnes in 2022. Since 2019, emissions per full-time equivalent (FTE) staff member have dropped by 9.4%, aligning with NRC's goal to decrease emissions by 20% per FTE by 2030. Despite this improvement, overall emissions have risen by 17.4% due to organizational growth and expanded humanitarian crises response.</w:t>
      </w:r>
      <w:r/>
    </w:p>
    <w:p>
      <w:r/>
      <w:r>
        <w:t>The report identifies key emission sources, with 73% stemming from program activities like construction materials, financial assistance, and food distribution. To address this, NRC plans to implement targeted reduction strategies in high-emission country offices and shift to renewable energy sources and minimize flights in 2024.</w:t>
      </w:r>
      <w:r/>
    </w:p>
    <w:p>
      <w:r/>
      <w:r>
        <w:t>Moreover, Osprey Housing has been awarded silver accreditation from the Carbon Literacy Organisation for its commitment to sustainability. As part of this recognition, Osprey staff and board members completed environmental awareness training developed with Keep Scotland Beautiful. The training aims to foster an understanding of the climate emergency and practices for reducing emissions. Currently, over 50% of Osprey's team has completed the training. The organization, which manages over 1,800 properties in Aberdeen City, Aberdeenshire, and Moray, also offers in-house carbon literacy training for new and existing staff.</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