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Canada Announces Polaris Carbon Capture Project and Atlas Carbon Storage Hub Investment Decisions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Shell Canada Products, a subsidiary of Shell plc, has made a final investment decision for the Polaris carbon capture project at the Shell Energy and Chemicals Park, Scotford, Alberta. The project aims to capture approximately 650,000 metric tons of CO2 annually from the Shell-owned Scotford refinery and chemicals complex. Polaris is expected to reduce Scope 1 emissions at the refinery by 40% and at the chemicals complex by 22%.</w:t>
      </w:r>
      <w:r/>
    </w:p>
    <w:p>
      <w:r/>
      <w:r>
        <w:t>Additionally, Shell announced a final investment decision to proceed with the Atlas Carbon Storage Hub, in partnership with ATCO EnPower. The first phase of Atlas will store CO2 captured by Polaris permanently underground. The CO2 will be transported via a 13.7-mile pipeline to two storage wells about two kilometers underground. Both projects are set to commence operations by the end of 2028.</w:t>
      </w:r>
      <w:r/>
    </w:p>
    <w:p>
      <w:r/>
      <w:r>
        <w:t>In parallel, Switzerland-based carbon removal company Neustark has secured $69 million in funding led by Decarbonization Partners, a joint initiative between BlackRock and Temasek. Neustark's technology converts demolition concrete into a permanent carbon sink, capturing and storing CO2. The company aims to expand its operations into the North American and Asia-Pacific markets, with plans to construct 40 new carbon capture and storage plants across Europe. Neustark collaborates with major corporations such as Microsoft, UBS, and NextGen.</w:t>
      </w:r>
      <w:r/>
    </w:p>
    <w:p>
      <w:r/>
      <w:r>
        <w:t>In another development, renewable energy company Zelestra has launched a new brand, transitioning from a centralized developer to a global customer-centric platform. Backed by EQT, Zelestra handles solar, wind, battery, and green hydrogen projects, striving to provide tailored decarbonization solutions globally.</w:t>
      </w:r>
      <w:r/>
    </w:p>
    <w:p>
      <w:r/>
      <w:r>
        <w:t>Each of these initiatives reflects the ongoing efforts in the energy sector to address climate change through innovative carbon capture and renewable energy solutions.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