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Blackline Safety Europe Achieves Carbon Neutrality Verification, Plans for ISO 14068 Compliance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Blackline Safety Corp.’s European operations have been independently verified as carbon neutral for all measured emissions during the previous fiscal year. The verification was conducted by certification organization NQA against the PAS 2060 standard for carbon neutrality. Blackline Safety, headquartered in Canada with offices in the UK, France, U.S., and UAE, manufactures and provides monitoring services for connected safety wearable and area gas monitors used by over 2,200 organizations and 165,000 workers globally.</w:t>
      </w:r>
      <w:r/>
    </w:p>
    <w:p>
      <w:r/>
      <w:r>
        <w:t>Lacey Griffin, Quality &amp; Compliance Coordinator for UK and Europe, highlighted that the company's journey to carbon neutrality aligns with its Environmental, Social, and Governance (ESG) initiatives, documented in annual reports since 2020. Last year, their European operations released its first Carbon Footprint report, conducted by carbon consultants Auditel, to track direct and indirect emissions.</w:t>
      </w:r>
      <w:r/>
    </w:p>
    <w:p>
      <w:r/>
      <w:r>
        <w:t>The company's carbon footprint was calculated according to the Greenhouse Gas (GHG) Protocol emission scopes, including direct fuel combustion emissions, purchased electricity generation emissions, and third-party operational activity emissions. Blackline Safety Europe aims to obtain the new ISO 14068 Climate Change Management Standard moving forward. They plan to continue measuring their carbon footprint and implementing emission reduction strategies, adhering to their values of innovation, resiliency, leadership, and empowerment.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