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Notable Architectural Competitions and New Leadership at RIAS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Architectural Competitions and Leadership Changes in RIAS</w:t>
      </w:r>
      <w:r/>
    </w:p>
    <w:p>
      <w:r/>
      <w:r>
        <w:t>This week, Bustler highlights four notable architecture and design competitions. These include contests for architecture students, sustainable and socially impactful inventions, proposals for reimagining ten permanent blind walls in Barcelona ahead of its designation as the World Capital of Architecture in 2026, and innovative designs for early childhood learning spaces.</w:t>
      </w:r>
      <w:r/>
    </w:p>
    <w:p>
      <w:r/>
      <w:r>
        <w:t>Separately, Karen Anderson has officially begun her term as president of the Royal Incorporation of Architects in Scotland (RIAS). Her two-year term started at the RIAS Annual General Meeting on Wednesday, June 26. Anderson, a founding partner of Anderson Bell + Christie and the project 'hirta,' has held significant roles such as chair of Architecture and Design Scotland (A&amp;DS) and WASPS.</w:t>
      </w:r>
      <w:r/>
    </w:p>
    <w:p>
      <w:r/>
      <w:r>
        <w:t>Anderson is the first to assume the RIAS presidency under revised election procedures intended to enhance continuity and preparation. She succeeds Chris Stewart and aims to build on the work of her predecessors, emphasizing the importance of well-designed buildings and resilient places for future generations.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