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Schneider Electric Honoured with 10,000,000th Anybus Module for Enhancing Network Connectivity in Variable Speed Drives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Schneider Electric has been honored with the 10,000,000th Anybus Module award by HMS Networks, reflecting a longstanding partnership aimed at enhancing network connectivity interfaces in Schneider's variable speed drives. These drives facilitate high performance and energy efficiency, reducing energy consumption and supporting a greener planet.</w:t>
      </w:r>
      <w:r/>
    </w:p>
    <w:p>
      <w:r/>
      <w:r>
        <w:t>Schneider Electric’s commitment to sustainability is integral to its mission, with a focus on helping customers reduce energy use. Notably, 42% of the company's avoided carbon emissions are attributed to Variable Speed Drives, emphasizing their impact on electrical motor efficiency. Jean-Louis Guillou, VP Drives – Industrial Control &amp; Drives, underscores the significance of intelligent, smart drives in optimizing motor performance and reducing energy usage by up to 20%.</w:t>
      </w:r>
      <w:r/>
    </w:p>
    <w:p>
      <w:r/>
      <w:r>
        <w:t>The collaboration between Schneider Electric and HMS Networks, spanning over two decades, has been vital in providing seamless connectivity across various industrial protocols like PROFINET and EtherNet/IP. HMS Networks' Anybus brand facilitates this connectivity, advancing industrial digitalization and ensuring equipment can integrate into diverse networks without extensive in-house development.</w:t>
      </w:r>
      <w:r/>
    </w:p>
    <w:p>
      <w:r/>
      <w:r>
        <w:t>In a related development, Huawei has deployed its green antennas in Northwestern China, targeting increased energy efficiency in 5G networks. These antennas reduce power consumption by 2 dB while maintaining coverage, achieving energy savings of up to 20% at sites. By eliminating internal cables and using laser welding technology, Huawei enhances RF energy efficiency, cutting power output by about 20% without compromising performance. These advancements contribute significantly to carbon emission reductions and support China’s carbon neutrality strategy.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