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Pipeline Installation Off Trinidad and GAIL's Revised Net Zero Target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Pipeline Installation Off Trinidad and GAIL's Revised Net Zero Target</w:t>
      </w:r>
      <w:r/>
    </w:p>
    <w:p>
      <w:r/>
      <w:r>
        <w:t>In the upcoming fall, Allseas’ vessel Lorelay is set to install a 22-kilometer-long pipeline off the east coast of Trinidad in the Caribbean Sea. The pipeline, which will have a diameter of 16 inches, is planned to be installed in waters ranging from 60 to 70 meters deep. Scheduled for November, the project involves a fast-track planning and execution process, including mattress installation and pre/post-lay surveys. The pipeline aims to connect a new platform to an existing installation.</w:t>
      </w:r>
      <w:r/>
    </w:p>
    <w:p>
      <w:r/>
      <w:r>
        <w:t>Meanwhile, GAIL (India) Ltd has expedited its plan to reach net zero carbon emissions, moving its target from 2040 to 2035. This change pertains to Scope 1 and Scope 2 emissions, which encompass both direct emissions from operations and indirect emissions from electricity consumption. The decision was approved by GAIL's board of directors and involves several strategic initiatives such as process electrification, renewable energy integration, the use of battery energy storage systems, compressed biogas, green hydrogen, carbon dioxide valorization, and afforestation efforts.</w:t>
      </w:r>
      <w:r/>
    </w:p>
    <w:p>
      <w:r/>
      <w:r>
        <w:t>GAIL’s Chairman and Managing Director, Sandeep Kumar Gupta, highlighted the company’s commitment to reducing emissions, emphasizing the role of natural gas as a cleaner fuel. This revised target underscores GAIL’s proactive approach towards climate change and aligns with India's broader goal of net zero emissions by 2070.</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