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Sustainable Solar Energy Initiatives Implemented in Wrexham and Ohio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Two initiatives aimed at sustainability through solar energy installations have been recently undertaken.</w:t>
      </w:r>
    </w:p>
    <w:p>
      <w:r>
        <w:t>In Wrexham, an application has been submitted to the local council for the installation of photovoltaic panels on the roof of the Llay Miners’ Welfare Institute. The historic building, constructed between 1929-31 with contributions from mine workers, is a Grade II-listed structure. The proposal aims to reduce operational costs and maintain the institute, which serves as a community space and a historical remembrance of Llay's coal mining heritage. Comments on the application can be submitted via the council's website, with a decision pending.</w:t>
      </w:r>
    </w:p>
    <w:p>
      <w:r>
        <w:t>Meanwhile, Discount Drug Mart has installed solar panels on its Avon Lake store at 33382 Walker Road, Ohio. This initiative, spearheaded by the company’s director of government and public affairs, Steve Ferris, is expected to reduce fossil fuel dependency and lower greenhouse gas emissions. The Avon Lake store was selected due to recent roof renovations, marking it the first of the company's 78 stores to adopt solar energy. Ferris noted that the project represents significant investment but anticipates long-term cost savings on electricity. Further installations at additional stores are planned.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