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Proposed Solar Panel Installations in Wales and England to Reduce Operational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have been proposed to install solar panels on two notable sites in Wales and England, aiming to harness renewable energy and reduce operational costs.</w:t>
      </w:r>
    </w:p>
    <w:p>
      <w:r>
        <w:t>In Wrexham, an application has been submitted to install photovoltaic panels on the Grade II-listed Llay Miners' Welfare Institute. Built between 1929 and 1931, the institute is historically significant due to its ties with the Llay Main Colliery, once the largest pit in Wales until its closure in 1966. The project aims to rejuvenate the building, maintaining its heritage and helping reduce running costs. Comments on the application can be made on Wrexham Council’s website.</w:t>
      </w:r>
    </w:p>
    <w:p>
      <w:r>
        <w:t>Separately, Halton Council has submitted plans for a large solar farm on the former St Michael’s golf course in Widnes. The 28-acre site, contaminated and closed since 2004, would host the proposed 'Widnes Solar Park,' a microgrid anticipated to generate four megawatts of energy. This energy would support local council-operated facilities. The project's approval would effectively quadruple the council's solar capacity. The plans can be viewed on the council’s online planning portal under reference number 24/00234/HBCFUL.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